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E" w:rsidRDefault="00B36F2E" w:rsidP="00B36F2E"/>
    <w:p w:rsidR="00B36F2E" w:rsidRDefault="00B36F2E" w:rsidP="00B36F2E"/>
    <w:p w:rsidR="00B36F2E" w:rsidRDefault="00B36F2E" w:rsidP="00B36F2E"/>
    <w:p w:rsidR="00B36F2E" w:rsidRDefault="00E17D38" w:rsidP="00B36F2E">
      <w:r>
        <w:rPr>
          <w:noProof/>
        </w:rPr>
        <w:pict>
          <v:roundrect id="_s1166" o:spid="_x0000_s1028" style="position:absolute;margin-left:134.55pt;margin-top:2.25pt;width:256.75pt;height:52.25pt;z-index:251655680;v-text-anchor:middle" arcsize="10923f" o:dgmlayout="0" o:dgmnodekind="1" o:dgmlayoutmru="0" fillcolor="#92d050" strokecolor="#76923c [2406]">
            <v:textbox style="mso-next-textbox:#_s1166" inset="0,0,0,0">
              <w:txbxContent>
                <w:p w:rsidR="00B36F2E" w:rsidRPr="00756059" w:rsidRDefault="00B36F2E" w:rsidP="00B36F2E">
                  <w:pPr>
                    <w:shd w:val="clear" w:color="auto" w:fill="76923C" w:themeFill="accent3" w:themeFillShade="BF"/>
                    <w:jc w:val="center"/>
                    <w:rPr>
                      <w:rFonts w:ascii="Calibri" w:hAnsi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756059"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</w:rPr>
                    <w:t>Settore III– ECONOMICO FINANZIARIO</w:t>
                  </w:r>
                </w:p>
                <w:p w:rsidR="00B36F2E" w:rsidRPr="00756059" w:rsidRDefault="00B36F2E" w:rsidP="00B36F2E">
                  <w:pPr>
                    <w:shd w:val="clear" w:color="auto" w:fill="76923C" w:themeFill="accent3" w:themeFillShade="BF"/>
                    <w:jc w:val="center"/>
                    <w:rPr>
                      <w:rFonts w:ascii="Calibri" w:hAnsi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756059">
                    <w:rPr>
                      <w:rFonts w:ascii="Calibri" w:hAnsi="Calibri"/>
                      <w:b/>
                      <w:bCs/>
                      <w:color w:val="FFFFFF" w:themeColor="background1"/>
                      <w:sz w:val="20"/>
                    </w:rPr>
                    <w:t xml:space="preserve">RESPONSABILE </w:t>
                  </w:r>
                  <w:r w:rsidRPr="00756059">
                    <w:rPr>
                      <w:rFonts w:ascii="Calibri" w:hAnsi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Esmeralda Forlani</w:t>
                  </w:r>
                </w:p>
                <w:p w:rsidR="00B36F2E" w:rsidRPr="00756059" w:rsidRDefault="00B36F2E" w:rsidP="00B36F2E">
                  <w:pPr>
                    <w:shd w:val="clear" w:color="auto" w:fill="76923C" w:themeFill="accent3" w:themeFillShade="BF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36F2E" w:rsidRDefault="00B36F2E" w:rsidP="00B36F2E"/>
    <w:p w:rsidR="00B36F2E" w:rsidRDefault="00B36F2E" w:rsidP="00B36F2E"/>
    <w:p w:rsidR="00B36F2E" w:rsidRDefault="00E17D38" w:rsidP="00B36F2E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164" o:spid="_x0000_s1026" type="#_x0000_t34" style="position:absolute;margin-left:291.8pt;margin-top:-19.2pt;width:44.55pt;height:109.45pt;rotation:270;flip:x;z-index:251656704" o:connectortype="elbow" adj="4364,30757,-212121" strokecolor="#00b050" strokeweight="2.25pt"/>
        </w:pict>
      </w:r>
      <w:r>
        <w:rPr>
          <w:noProof/>
        </w:rPr>
        <w:pict>
          <v:shape id="_s1165" o:spid="_x0000_s1027" type="#_x0000_t34" style="position:absolute;margin-left:173.8pt;margin-top:-26.95pt;width:44.6pt;height:125pt;rotation:270;z-index:251657728" o:connectortype="elbow" adj="4359,-26940,-98338" strokecolor="#00b050" strokeweight="2.25pt"/>
        </w:pict>
      </w:r>
    </w:p>
    <w:p w:rsidR="00B36F2E" w:rsidRDefault="00B36F2E" w:rsidP="00B36F2E"/>
    <w:p w:rsidR="00B36F2E" w:rsidRDefault="00B36F2E" w:rsidP="00B36F2E"/>
    <w:p w:rsidR="00B36F2E" w:rsidRDefault="00B36F2E" w:rsidP="00B36F2E"/>
    <w:p w:rsidR="00B36F2E" w:rsidRDefault="00E17D38" w:rsidP="00B36F2E">
      <w:r>
        <w:rPr>
          <w:noProof/>
        </w:rPr>
        <w:pict>
          <v:roundrect id="_s1168" o:spid="_x0000_s1030" style="position:absolute;margin-left:296.55pt;margin-top:7.25pt;width:128pt;height:45.15pt;z-index:251658752;v-text-anchor:middle" arcsize="10923f" o:dgmlayout="0" o:dgmnodekind="0" fillcolor="#92d050" strokecolor="#00b050">
            <v:textbox style="mso-next-textbox:#_s1168" inset="0,0,0,0">
              <w:txbxContent>
                <w:p w:rsidR="00B36F2E" w:rsidRPr="004C5C8C" w:rsidRDefault="00B36F2E" w:rsidP="00B36F2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4C5C8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SERVIZIO </w:t>
                  </w:r>
                </w:p>
                <w:p w:rsidR="00B36F2E" w:rsidRPr="004C5C8C" w:rsidRDefault="00B36F2E" w:rsidP="00B36F2E">
                  <w:pPr>
                    <w:jc w:val="center"/>
                    <w:rPr>
                      <w:sz w:val="20"/>
                      <w:szCs w:val="20"/>
                    </w:rPr>
                  </w:pPr>
                  <w:r w:rsidRPr="004C5C8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 Tributi e fiscale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s1167" o:spid="_x0000_s1029" style="position:absolute;margin-left:53.1pt;margin-top:2.65pt;width:160.95pt;height:68.5pt;z-index:251659776;v-text-anchor:middle" arcsize="10923f" o:dgmlayout="0" o:dgmnodekind="0" fillcolor="#92d050" strokecolor="#00b050">
            <v:textbox style="mso-next-textbox:#_s1167" inset="0,0,0,0">
              <w:txbxContent>
                <w:p w:rsidR="00B36F2E" w:rsidRPr="004C5C8C" w:rsidRDefault="00B36F2E" w:rsidP="00B36F2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2"/>
                    </w:rPr>
                  </w:pPr>
                </w:p>
                <w:p w:rsidR="00B36F2E" w:rsidRPr="004C5C8C" w:rsidRDefault="00B36F2E" w:rsidP="00B36F2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4C5C8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SERVIZIO </w:t>
                  </w:r>
                </w:p>
                <w:p w:rsidR="00B36F2E" w:rsidRDefault="00B36F2E" w:rsidP="00B36F2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4C5C8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Ragioneria</w:t>
                  </w:r>
                </w:p>
                <w:p w:rsidR="00B36F2E" w:rsidRDefault="00B36F2E" w:rsidP="00B36F2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 Programmazione finanziaria</w:t>
                  </w:r>
                </w:p>
                <w:p w:rsidR="00B36F2E" w:rsidRDefault="00B36F2E" w:rsidP="00B36F2E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- Bilancio </w:t>
                  </w:r>
                </w:p>
                <w:p w:rsidR="00B36F2E" w:rsidRPr="004C5C8C" w:rsidRDefault="00B36F2E" w:rsidP="00B36F2E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p w:rsidR="00B36F2E" w:rsidRPr="004C5C8C" w:rsidRDefault="00B36F2E" w:rsidP="00B36F2E">
                  <w:pPr>
                    <w:jc w:val="both"/>
                    <w:rPr>
                      <w:rFonts w:ascii="Calibri" w:hAnsi="Calibri"/>
                      <w:b/>
                      <w:bCs/>
                      <w:sz w:val="6"/>
                      <w:szCs w:val="20"/>
                    </w:rPr>
                  </w:pPr>
                </w:p>
              </w:txbxContent>
            </v:textbox>
          </v:roundrect>
        </w:pict>
      </w:r>
    </w:p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Pr="003B1607" w:rsidRDefault="00B36F2E" w:rsidP="00B36F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Enfasigrassetto"/>
          <w:sz w:val="28"/>
          <w:szCs w:val="28"/>
        </w:rPr>
      </w:pPr>
      <w:r w:rsidRPr="003B1607">
        <w:rPr>
          <w:rStyle w:val="Enfasigrassetto"/>
          <w:sz w:val="28"/>
          <w:szCs w:val="28"/>
        </w:rPr>
        <w:t xml:space="preserve">OBIETTIVI OPERATIVI </w:t>
      </w:r>
      <w:proofErr w:type="spellStart"/>
      <w:r w:rsidRPr="003B1607">
        <w:rPr>
          <w:rStyle w:val="Enfasigrassetto"/>
          <w:sz w:val="28"/>
          <w:szCs w:val="28"/>
        </w:rPr>
        <w:t>DI</w:t>
      </w:r>
      <w:proofErr w:type="spellEnd"/>
      <w:r w:rsidRPr="003B1607">
        <w:rPr>
          <w:rStyle w:val="Enfasigrassetto"/>
          <w:sz w:val="28"/>
          <w:szCs w:val="28"/>
        </w:rPr>
        <w:t xml:space="preserve"> CARATTERE GENERALE</w:t>
      </w:r>
      <w:r>
        <w:rPr>
          <w:rStyle w:val="Enfasigrassetto"/>
          <w:sz w:val="28"/>
          <w:szCs w:val="28"/>
        </w:rPr>
        <w:t xml:space="preserve"> 2017 - 2019</w:t>
      </w:r>
    </w:p>
    <w:p w:rsidR="00B36F2E" w:rsidRDefault="00B36F2E" w:rsidP="00B36F2E">
      <w:pPr>
        <w:autoSpaceDE w:val="0"/>
        <w:autoSpaceDN w:val="0"/>
        <w:adjustRightInd w:val="0"/>
        <w:jc w:val="both"/>
        <w:rPr>
          <w:rStyle w:val="Enfasigrassetto"/>
        </w:rPr>
      </w:pPr>
    </w:p>
    <w:p w:rsidR="00B36F2E" w:rsidRPr="003B1607" w:rsidRDefault="00B36F2E" w:rsidP="00B36F2E">
      <w:pPr>
        <w:pStyle w:val="Paragrafoelenco"/>
        <w:numPr>
          <w:ilvl w:val="0"/>
          <w:numId w:val="3"/>
        </w:numPr>
        <w:rPr>
          <w:b/>
          <w:sz w:val="10"/>
          <w:szCs w:val="10"/>
        </w:rPr>
      </w:pPr>
      <w:r w:rsidRPr="003B1607">
        <w:rPr>
          <w:b/>
          <w:sz w:val="26"/>
          <w:szCs w:val="26"/>
        </w:rPr>
        <w:t>SERVIZI</w:t>
      </w:r>
      <w:r>
        <w:rPr>
          <w:b/>
          <w:sz w:val="26"/>
          <w:szCs w:val="26"/>
        </w:rPr>
        <w:t xml:space="preserve"> FINANZIARI</w:t>
      </w:r>
      <w:r w:rsidRPr="003B1607">
        <w:rPr>
          <w:b/>
          <w:sz w:val="26"/>
          <w:szCs w:val="26"/>
        </w:rPr>
        <w:t>:</w:t>
      </w:r>
      <w:r w:rsidRPr="003B1607">
        <w:rPr>
          <w:b/>
        </w:rPr>
        <w:t xml:space="preserve"> </w:t>
      </w:r>
      <w:r w:rsidRPr="003B1607">
        <w:rPr>
          <w:b/>
        </w:rPr>
        <w:tab/>
      </w: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i/>
          <w:sz w:val="22"/>
          <w:szCs w:val="22"/>
        </w:rPr>
      </w:pPr>
      <w:r w:rsidRPr="003B1607">
        <w:rPr>
          <w:sz w:val="22"/>
          <w:szCs w:val="22"/>
        </w:rPr>
        <w:t>dipendenti  assegnat</w:t>
      </w:r>
      <w:r>
        <w:rPr>
          <w:sz w:val="22"/>
          <w:szCs w:val="22"/>
        </w:rPr>
        <w:t>i</w:t>
      </w:r>
      <w:r w:rsidRPr="003B1607">
        <w:rPr>
          <w:sz w:val="22"/>
          <w:szCs w:val="22"/>
        </w:rPr>
        <w:t xml:space="preserve">: </w:t>
      </w:r>
      <w:r w:rsidRPr="003B1607">
        <w:rPr>
          <w:sz w:val="22"/>
          <w:szCs w:val="22"/>
        </w:rPr>
        <w:tab/>
      </w:r>
      <w:r w:rsidRPr="00C06D35">
        <w:rPr>
          <w:b/>
          <w:color w:val="4F6228" w:themeColor="accent3" w:themeShade="80"/>
          <w:sz w:val="22"/>
          <w:szCs w:val="22"/>
        </w:rPr>
        <w:t>ESMERALDA FORLANI</w:t>
      </w:r>
      <w:r w:rsidRPr="003B1607">
        <w:rPr>
          <w:b/>
          <w:color w:val="943634" w:themeColor="accent2" w:themeShade="BF"/>
          <w:sz w:val="22"/>
          <w:szCs w:val="22"/>
        </w:rPr>
        <w:t>,</w:t>
      </w:r>
      <w:r w:rsidRPr="003B1607">
        <w:rPr>
          <w:sz w:val="22"/>
          <w:szCs w:val="22"/>
        </w:rPr>
        <w:t xml:space="preserve">  </w:t>
      </w:r>
      <w:r w:rsidRPr="003B1607">
        <w:rPr>
          <w:i/>
          <w:sz w:val="22"/>
          <w:szCs w:val="22"/>
        </w:rPr>
        <w:t xml:space="preserve">predisposizione e gestione atti </w:t>
      </w:r>
    </w:p>
    <w:p w:rsidR="00B36F2E" w:rsidRPr="003B1607" w:rsidRDefault="00B36F2E" w:rsidP="00B36F2E">
      <w:pPr>
        <w:pStyle w:val="Paragrafoelenco"/>
        <w:ind w:left="3225" w:firstLine="315"/>
        <w:rPr>
          <w:i/>
          <w:sz w:val="22"/>
          <w:szCs w:val="22"/>
        </w:rPr>
      </w:pPr>
      <w:r w:rsidRPr="003B1607">
        <w:rPr>
          <w:i/>
          <w:sz w:val="22"/>
          <w:szCs w:val="22"/>
        </w:rPr>
        <w:t>amministrativi e di bilancio relativi al servizio, responsabile servizio</w:t>
      </w: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b/>
          <w:bCs/>
        </w:rPr>
      </w:pPr>
      <w:r w:rsidRPr="003B1607">
        <w:rPr>
          <w:sz w:val="22"/>
          <w:szCs w:val="22"/>
        </w:rPr>
        <w:t>impiego di strumentazioni e hardware già in dotazione all’ente</w:t>
      </w:r>
    </w:p>
    <w:p w:rsidR="00B36F2E" w:rsidRPr="00A27FD9" w:rsidRDefault="00B36F2E" w:rsidP="00B36F2E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3B1607">
        <w:rPr>
          <w:sz w:val="22"/>
          <w:szCs w:val="22"/>
        </w:rPr>
        <w:t>utilizzo software di base ed applicativi Datagraph</w:t>
      </w:r>
      <w:r>
        <w:rPr>
          <w:sz w:val="22"/>
          <w:szCs w:val="22"/>
        </w:rPr>
        <w:t>,</w:t>
      </w:r>
      <w:r w:rsidRPr="003B1607">
        <w:rPr>
          <w:sz w:val="22"/>
          <w:szCs w:val="22"/>
        </w:rPr>
        <w:t xml:space="preserve"> Paleo</w:t>
      </w:r>
      <w:r>
        <w:rPr>
          <w:sz w:val="22"/>
          <w:szCs w:val="22"/>
        </w:rPr>
        <w:t>, F24EP, Piattaforma certificata dei Crediti, Patrimonio della P.A., SIQUEL, SIRTEL, SIRECO, SOSE</w:t>
      </w:r>
    </w:p>
    <w:p w:rsidR="00B36F2E" w:rsidRPr="003B1607" w:rsidRDefault="00B36F2E" w:rsidP="00B36F2E">
      <w:pPr>
        <w:pStyle w:val="Paragrafoelenco"/>
        <w:ind w:left="1101"/>
        <w:rPr>
          <w:b/>
          <w:bCs/>
        </w:rPr>
      </w:pP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b/>
          <w:bCs/>
        </w:rPr>
      </w:pPr>
      <w:r w:rsidRPr="003B1607">
        <w:rPr>
          <w:sz w:val="22"/>
          <w:szCs w:val="22"/>
        </w:rPr>
        <w:t>a questo servizio fanno capo le attività e procedure riconducibili a:</w:t>
      </w:r>
    </w:p>
    <w:p w:rsidR="00B36F2E" w:rsidRPr="003B1607" w:rsidRDefault="00B36F2E" w:rsidP="00B36F2E">
      <w:pPr>
        <w:rPr>
          <w:b/>
          <w:sz w:val="10"/>
          <w:szCs w:val="10"/>
        </w:rPr>
      </w:pP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Grantire</w:t>
      </w:r>
      <w:proofErr w:type="spellEnd"/>
      <w:r>
        <w:rPr>
          <w:color w:val="000000"/>
        </w:rPr>
        <w:t xml:space="preserve"> </w:t>
      </w:r>
      <w:r w:rsidRPr="006949F6">
        <w:rPr>
          <w:color w:val="000000"/>
        </w:rPr>
        <w:t>l’espletamento delle attività amministrative e contabili</w:t>
      </w:r>
      <w:r>
        <w:rPr>
          <w:color w:val="000000"/>
        </w:rPr>
        <w:t xml:space="preserve"> r</w:t>
      </w:r>
      <w:r w:rsidRPr="006949F6">
        <w:rPr>
          <w:color w:val="000000"/>
        </w:rPr>
        <w:t>elative alla predisposizione</w:t>
      </w:r>
      <w:r>
        <w:rPr>
          <w:color w:val="000000"/>
        </w:rPr>
        <w:t>, elaborazione</w:t>
      </w:r>
      <w:r w:rsidRPr="006949F6">
        <w:rPr>
          <w:color w:val="000000"/>
        </w:rPr>
        <w:t xml:space="preserve"> ed alla gestione del bilancio di previsione e delle certificazioni conseguenti</w:t>
      </w:r>
      <w:r>
        <w:rPr>
          <w:color w:val="000000"/>
        </w:rPr>
        <w:t xml:space="preserve"> </w:t>
      </w:r>
      <w:r w:rsidRPr="006949F6">
        <w:rPr>
          <w:color w:val="000000"/>
        </w:rPr>
        <w:t>nonché dei rendiconti finanziari (Certificato del Bilancio di previsione con l’utilizzo della procedura sul portale del MEF “TBEL”</w:t>
      </w:r>
      <w:r>
        <w:rPr>
          <w:color w:val="000000"/>
        </w:rPr>
        <w:t>,</w:t>
      </w:r>
      <w:r w:rsidRPr="006949F6">
        <w:rPr>
          <w:color w:val="000000"/>
        </w:rPr>
        <w:t xml:space="preserve"> Certificazione semestrale sugli equilibri di bilancio</w:t>
      </w:r>
      <w:r>
        <w:rPr>
          <w:color w:val="000000"/>
        </w:rPr>
        <w:t>, Certificato del Rendiconto</w:t>
      </w:r>
      <w:r w:rsidRPr="006949F6">
        <w:rPr>
          <w:color w:val="000000"/>
        </w:rPr>
        <w:t xml:space="preserve"> con l’utilizzo della procedura sul portale del MEF “TBEL”</w:t>
      </w:r>
      <w:r>
        <w:rPr>
          <w:color w:val="000000"/>
        </w:rPr>
        <w:t>,</w:t>
      </w:r>
      <w:r w:rsidRPr="006949F6">
        <w:rPr>
          <w:color w:val="000000"/>
        </w:rPr>
        <w:t xml:space="preserve"> Trasmissione dei dati </w:t>
      </w:r>
      <w:r>
        <w:rPr>
          <w:color w:val="000000"/>
        </w:rPr>
        <w:t xml:space="preserve">alla Corte dei Conti </w:t>
      </w:r>
      <w:r w:rsidRPr="006949F6">
        <w:rPr>
          <w:color w:val="000000"/>
        </w:rPr>
        <w:t xml:space="preserve">relativi al Rendiconto con l’utilizzo della procedura prevista sul portale SIRTEL) 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949F6">
        <w:rPr>
          <w:color w:val="000000"/>
        </w:rPr>
        <w:t>Collabora</w:t>
      </w:r>
      <w:r>
        <w:rPr>
          <w:color w:val="000000"/>
        </w:rPr>
        <w:t>re</w:t>
      </w:r>
      <w:r w:rsidRPr="006949F6">
        <w:rPr>
          <w:color w:val="000000"/>
        </w:rPr>
        <w:t xml:space="preserve"> con la ditta affidataria de</w:t>
      </w:r>
      <w:r>
        <w:rPr>
          <w:color w:val="000000"/>
        </w:rPr>
        <w:t>lla redazione dei registri relativi ai beni mobili ed immobili, attraverso il reperimento dei dati catastali aggiornati, dei provvedimenti relativi agli acquisti, alle vendite, alle dismissioni ecc.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Predisporre ed elaborare il Conto del Patrimonio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Controllare, parificare e trasmettere alla Corte dei Conti, con l’utilizzo della procedura prevista sul portale SIRECO, i conti degli Agenti Contabili interni ed esterni, a denaro e a materia (Tesoriere, Concessionari “</w:t>
      </w:r>
      <w:proofErr w:type="spellStart"/>
      <w:r>
        <w:rPr>
          <w:color w:val="000000"/>
        </w:rPr>
        <w:t>Equitalia</w:t>
      </w:r>
      <w:proofErr w:type="spellEnd"/>
      <w:r>
        <w:rPr>
          <w:color w:val="000000"/>
        </w:rPr>
        <w:t xml:space="preserve"> S.p.A., </w:t>
      </w:r>
      <w:proofErr w:type="spellStart"/>
      <w:r>
        <w:rPr>
          <w:color w:val="000000"/>
        </w:rPr>
        <w:t>Andreani</w:t>
      </w:r>
      <w:proofErr w:type="spellEnd"/>
      <w:r>
        <w:rPr>
          <w:color w:val="000000"/>
        </w:rPr>
        <w:t xml:space="preserve"> Tributi </w:t>
      </w:r>
      <w:proofErr w:type="spellStart"/>
      <w:r>
        <w:rPr>
          <w:color w:val="000000"/>
        </w:rPr>
        <w:t>S.r.l</w:t>
      </w:r>
      <w:proofErr w:type="spellEnd"/>
      <w:r>
        <w:rPr>
          <w:color w:val="000000"/>
        </w:rPr>
        <w:t>”, Consegnatario di Azioni, Consegnatari di beni mobili)</w:t>
      </w:r>
    </w:p>
    <w:p w:rsidR="00B36F2E" w:rsidRPr="006949F6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Predisporre, elaborare ed inserire nella procedura prevista sul portale “SOSE” </w:t>
      </w:r>
      <w:r w:rsidRPr="00CE2C8F">
        <w:rPr>
          <w:color w:val="000000"/>
        </w:rPr>
        <w:t>i dati</w:t>
      </w:r>
      <w:r>
        <w:rPr>
          <w:color w:val="000000"/>
        </w:rPr>
        <w:t xml:space="preserve"> richiesti dal MEF relativi ai Fabbisogni Standard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16FCE">
        <w:rPr>
          <w:color w:val="000000"/>
        </w:rPr>
        <w:t>Assicura</w:t>
      </w:r>
      <w:r>
        <w:rPr>
          <w:color w:val="000000"/>
        </w:rPr>
        <w:t>re</w:t>
      </w:r>
      <w:r w:rsidRPr="00F16FCE">
        <w:rPr>
          <w:color w:val="000000"/>
        </w:rPr>
        <w:t xml:space="preserve"> la corretta gestione contabile delle entrate e delle uscite</w:t>
      </w:r>
      <w:r>
        <w:rPr>
          <w:color w:val="000000"/>
        </w:rPr>
        <w:t xml:space="preserve"> attraverso l’emissione di tutti i mandati di pagamento, degli ordinativi d’incasso, la registrazione </w:t>
      </w:r>
      <w:r>
        <w:rPr>
          <w:color w:val="000000"/>
        </w:rPr>
        <w:lastRenderedPageBreak/>
        <w:t>degli impegni e degli accertamenti</w:t>
      </w:r>
      <w:r w:rsidRPr="00F16FCE">
        <w:rPr>
          <w:color w:val="000000"/>
        </w:rPr>
        <w:t xml:space="preserve">, coordinando i necessari controlli amministrativi al fine di consentire l’espressione del parere di regolarità contabile </w:t>
      </w:r>
      <w:r>
        <w:rPr>
          <w:color w:val="000000"/>
        </w:rPr>
        <w:t>e</w:t>
      </w:r>
      <w:r w:rsidRPr="00F16FCE">
        <w:rPr>
          <w:color w:val="000000"/>
        </w:rPr>
        <w:t xml:space="preserve"> l’attestazione di copertura finanziaria</w:t>
      </w:r>
      <w:r>
        <w:rPr>
          <w:color w:val="000000"/>
        </w:rPr>
        <w:t xml:space="preserve">; provvede a versare l’IVA istituzionale e commerciale derivante da operazioni di </w:t>
      </w:r>
      <w:proofErr w:type="spellStart"/>
      <w:r>
        <w:rPr>
          <w:color w:val="000000"/>
        </w:rPr>
        <w:t>Split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 e da reverse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 xml:space="preserve"> mediante F24EP telematico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Registrare sul sistema informatico e controlla la regolarità fiscale di tutte le fatture elettroniche in arrivo (emissione in regime di </w:t>
      </w:r>
      <w:proofErr w:type="spellStart"/>
      <w:r>
        <w:rPr>
          <w:color w:val="000000"/>
        </w:rPr>
        <w:t>split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, reverse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 xml:space="preserve">, esatta indicazione delle percentuali relative alle ritenute IRPEF, Casse di previdenza o aliquote IVA per i regimi speciali, imposta di bollo in caso di fatture in esenzione da IVA) 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Tenere la Contabilità I.V.A. (Emissione e registrazione fatture di vendita cartacee, ed elettroniche; registrazione dei corrispettivi, registrazione fatture d’acquisto, emissione autofatture relative all’utilizzo gratuito del Teatro nonché autofatture per </w:t>
      </w:r>
      <w:proofErr w:type="spellStart"/>
      <w:r>
        <w:rPr>
          <w:color w:val="000000"/>
        </w:rPr>
        <w:t>split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 e reverse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>; Redazione e trasmissione telematica della dichiarazione I.V.A.)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Gestire le ritenute fiscali dei lavoratori autonomi e la relativa certificazione annuale (CUD)</w:t>
      </w:r>
    </w:p>
    <w:p w:rsidR="00B36F2E" w:rsidRPr="002476A8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Gestisce gli aspetti fiscali relativi agli</w:t>
      </w:r>
      <w:r w:rsidRPr="002476A8">
        <w:rPr>
          <w:color w:val="000000"/>
        </w:rPr>
        <w:t xml:space="preserve"> acquisti </w:t>
      </w:r>
      <w:r>
        <w:rPr>
          <w:color w:val="000000"/>
        </w:rPr>
        <w:t>effettuati nel</w:t>
      </w:r>
      <w:r w:rsidRPr="002476A8">
        <w:rPr>
          <w:color w:val="000000"/>
        </w:rPr>
        <w:t>la Repubblica di San Marino</w:t>
      </w:r>
      <w:r>
        <w:rPr>
          <w:color w:val="000000"/>
        </w:rPr>
        <w:t xml:space="preserve"> </w:t>
      </w:r>
      <w:r w:rsidRPr="002476A8">
        <w:rPr>
          <w:color w:val="000000"/>
        </w:rPr>
        <w:t xml:space="preserve"> (Emissione autofattura con integrazione IVA e relativo versamento mediante F24EP; Redazione e trasmissione telematica Modello INTRA12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16FCE">
        <w:rPr>
          <w:color w:val="000000"/>
        </w:rPr>
        <w:t>Assicura</w:t>
      </w:r>
      <w:r>
        <w:rPr>
          <w:color w:val="000000"/>
        </w:rPr>
        <w:t>re</w:t>
      </w:r>
      <w:r w:rsidRPr="00F16FCE">
        <w:rPr>
          <w:color w:val="000000"/>
        </w:rPr>
        <w:t xml:space="preserve"> e verifica</w:t>
      </w:r>
      <w:r>
        <w:rPr>
          <w:color w:val="000000"/>
        </w:rPr>
        <w:t>re</w:t>
      </w:r>
      <w:r w:rsidRPr="00F16FCE">
        <w:rPr>
          <w:color w:val="000000"/>
        </w:rPr>
        <w:t xml:space="preserve"> gli equilibri di bilancio finanziari e di cassa nel corso della gestione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16FCE">
        <w:rPr>
          <w:color w:val="000000"/>
        </w:rPr>
        <w:t>Effettua</w:t>
      </w:r>
      <w:r>
        <w:rPr>
          <w:color w:val="000000"/>
        </w:rPr>
        <w:t>re</w:t>
      </w:r>
      <w:r w:rsidRPr="00F16FCE">
        <w:rPr>
          <w:color w:val="000000"/>
        </w:rPr>
        <w:t xml:space="preserve"> i necessari controlli per il raggiungimento del rispetto dell’obiettivo annuale del pareggio di bilancio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Provvedere ad espletare </w:t>
      </w:r>
      <w:r w:rsidRPr="00124E63">
        <w:rPr>
          <w:color w:val="000000"/>
        </w:rPr>
        <w:t xml:space="preserve">gare </w:t>
      </w:r>
      <w:r>
        <w:rPr>
          <w:color w:val="000000"/>
        </w:rPr>
        <w:t xml:space="preserve">ad evidenza pubblica </w:t>
      </w:r>
      <w:r w:rsidRPr="00124E63">
        <w:rPr>
          <w:color w:val="000000"/>
        </w:rPr>
        <w:t>per la concessione del Servizio di Tesoreria, c</w:t>
      </w:r>
      <w:r>
        <w:rPr>
          <w:color w:val="000000"/>
        </w:rPr>
        <w:t>ura i rapporti con il Tesoriere</w:t>
      </w:r>
    </w:p>
    <w:p w:rsidR="00B36F2E" w:rsidRPr="00124E63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24E63">
        <w:rPr>
          <w:color w:val="000000"/>
        </w:rPr>
        <w:t>Gesti</w:t>
      </w:r>
      <w:r>
        <w:rPr>
          <w:color w:val="000000"/>
        </w:rPr>
        <w:t>re</w:t>
      </w:r>
      <w:r w:rsidRPr="00124E63">
        <w:rPr>
          <w:color w:val="000000"/>
        </w:rPr>
        <w:t xml:space="preserve"> la Piattaforma per la certificazione dei crediti presso la Ragioneria Generale dello Stato che consente ai creditori dell’ente di chiedere la certificazione dei crediti relativi a somme dovute per somministrazioni, forniture, appalti e prestazioni professionali e di tracciare le eventuali successive operazioni di anticipazione, compensazione, cessione e pagamento, a valere sui crediti certificati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Inserire mensilmente i pagamenti sulla Piattaforma nel rispetto </w:t>
      </w:r>
      <w:r w:rsidRPr="00FE0F8A">
        <w:rPr>
          <w:color w:val="000000"/>
        </w:rPr>
        <w:t>dei tempi di pagamento stabiliti dalla legislazione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Pr="00F16FCE">
        <w:rPr>
          <w:color w:val="000000"/>
        </w:rPr>
        <w:t>ura</w:t>
      </w:r>
      <w:r>
        <w:rPr>
          <w:color w:val="000000"/>
        </w:rPr>
        <w:t>re</w:t>
      </w:r>
      <w:r w:rsidRPr="00F16FCE">
        <w:rPr>
          <w:color w:val="000000"/>
        </w:rPr>
        <w:t xml:space="preserve"> il corretto espletamento delle attività connesse alla richiesta, stipulazione e gestione di mutui e di altre forme di ricorso al mercato dei capitali.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Assicurare l</w:t>
      </w:r>
      <w:r w:rsidRPr="00FE0F8A">
        <w:rPr>
          <w:color w:val="000000"/>
        </w:rPr>
        <w:t>’attuazione ed il costante monitoraggio della spesa e dell’entrata relativa agli investimenti</w:t>
      </w:r>
    </w:p>
    <w:p w:rsidR="00B36F2E" w:rsidRPr="00D10629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D10629">
        <w:rPr>
          <w:color w:val="000000"/>
        </w:rPr>
        <w:t>Sollecita</w:t>
      </w:r>
      <w:r>
        <w:rPr>
          <w:color w:val="000000"/>
        </w:rPr>
        <w:t>re</w:t>
      </w:r>
      <w:r w:rsidRPr="00D10629">
        <w:rPr>
          <w:color w:val="000000"/>
        </w:rPr>
        <w:t xml:space="preserve"> i Responsabili </w:t>
      </w:r>
      <w:r>
        <w:rPr>
          <w:color w:val="000000"/>
        </w:rPr>
        <w:t>al</w:t>
      </w:r>
      <w:r w:rsidRPr="00D10629">
        <w:rPr>
          <w:color w:val="000000"/>
        </w:rPr>
        <w:t xml:space="preserve"> </w:t>
      </w:r>
      <w:r w:rsidRPr="00D10629">
        <w:rPr>
          <w:color w:val="000000"/>
          <w:spacing w:val="-4"/>
        </w:rPr>
        <w:t>controllo del grado di realizzazione dei residui attivi</w:t>
      </w:r>
      <w:r>
        <w:rPr>
          <w:color w:val="000000"/>
          <w:spacing w:val="-4"/>
        </w:rPr>
        <w:t xml:space="preserve"> (attraverso le procedure previste dalla legge)</w:t>
      </w:r>
      <w:r w:rsidRPr="00D10629">
        <w:rPr>
          <w:color w:val="000000"/>
          <w:spacing w:val="-4"/>
        </w:rPr>
        <w:t xml:space="preserve"> e di smaltimento dei residui passivi;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Collaborare costantemente con il Revisore dei Conti mediante il reperimento dei dati da sottoporre alle verifiche previste dalla normativa vigente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Collaborare con la ditta affidataria del servizio relativo alla predisposizione del controllo di gestione attraverso il reperimento dei dati e la trasmissione dei relativi elaborati alla Giunta Comunale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Curare ed elaborare i dati dei Bilanci delle Società Partecipate direttamente ed indirettamente dal Comune, al fine dell’inserimento degli stessi sul Portale del Patrimonio della P.A.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Curare l’elaborazione dei dati finanziari da pubblicare sul sito 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E0F8A">
        <w:rPr>
          <w:color w:val="000000"/>
        </w:rPr>
        <w:t>Predispo</w:t>
      </w:r>
      <w:r>
        <w:rPr>
          <w:color w:val="000000"/>
        </w:rPr>
        <w:t>rre</w:t>
      </w:r>
      <w:r w:rsidRPr="00FE0F8A">
        <w:rPr>
          <w:color w:val="000000"/>
        </w:rPr>
        <w:t xml:space="preserve"> procedure operative previste dal Regolamento di contabilità</w:t>
      </w:r>
    </w:p>
    <w:p w:rsidR="00B36F2E" w:rsidRDefault="00B36F2E" w:rsidP="00B36F2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10629">
        <w:rPr>
          <w:color w:val="000000"/>
        </w:rPr>
        <w:t>D</w:t>
      </w:r>
      <w:r>
        <w:rPr>
          <w:color w:val="000000"/>
        </w:rPr>
        <w:t xml:space="preserve">are </w:t>
      </w:r>
      <w:r w:rsidRPr="00D10629">
        <w:rPr>
          <w:color w:val="000000"/>
        </w:rPr>
        <w:t>piena</w:t>
      </w:r>
      <w:r>
        <w:rPr>
          <w:color w:val="000000"/>
        </w:rPr>
        <w:t xml:space="preserve"> attuazione al Decreto Legislativo n. 118/2011.</w:t>
      </w: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color w:val="000000"/>
        </w:rPr>
      </w:pPr>
    </w:p>
    <w:p w:rsidR="00B36F2E" w:rsidRPr="003B1607" w:rsidRDefault="00B36F2E" w:rsidP="00B36F2E">
      <w:pPr>
        <w:pStyle w:val="Paragrafoelenco"/>
        <w:numPr>
          <w:ilvl w:val="0"/>
          <w:numId w:val="3"/>
        </w:numPr>
        <w:rPr>
          <w:b/>
          <w:sz w:val="10"/>
          <w:szCs w:val="10"/>
        </w:rPr>
      </w:pPr>
      <w:r w:rsidRPr="003B1607">
        <w:rPr>
          <w:b/>
          <w:sz w:val="26"/>
          <w:szCs w:val="26"/>
        </w:rPr>
        <w:t>SERVIZI</w:t>
      </w:r>
      <w:r>
        <w:rPr>
          <w:b/>
          <w:sz w:val="26"/>
          <w:szCs w:val="26"/>
        </w:rPr>
        <w:t>O TRIBUTI:</w:t>
      </w: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i/>
          <w:sz w:val="22"/>
          <w:szCs w:val="22"/>
        </w:rPr>
      </w:pPr>
      <w:r w:rsidRPr="003B1607">
        <w:rPr>
          <w:sz w:val="22"/>
          <w:szCs w:val="22"/>
        </w:rPr>
        <w:t>dipendenti  assegnat</w:t>
      </w:r>
      <w:r>
        <w:rPr>
          <w:sz w:val="22"/>
          <w:szCs w:val="22"/>
        </w:rPr>
        <w:t>i</w:t>
      </w:r>
      <w:r w:rsidRPr="003B1607">
        <w:rPr>
          <w:sz w:val="22"/>
          <w:szCs w:val="22"/>
        </w:rPr>
        <w:t xml:space="preserve">: </w:t>
      </w:r>
      <w:r w:rsidRPr="003B1607">
        <w:rPr>
          <w:sz w:val="22"/>
          <w:szCs w:val="22"/>
        </w:rPr>
        <w:tab/>
      </w:r>
      <w:r w:rsidRPr="00140E12">
        <w:rPr>
          <w:b/>
          <w:color w:val="4F6228" w:themeColor="accent3" w:themeShade="80"/>
          <w:sz w:val="22"/>
          <w:szCs w:val="22"/>
        </w:rPr>
        <w:t>ESMERALDA FORLANI</w:t>
      </w:r>
      <w:r w:rsidRPr="003B1607">
        <w:rPr>
          <w:b/>
          <w:color w:val="943634" w:themeColor="accent2" w:themeShade="BF"/>
          <w:sz w:val="22"/>
          <w:szCs w:val="22"/>
        </w:rPr>
        <w:t>,</w:t>
      </w:r>
      <w:r w:rsidRPr="003B1607">
        <w:rPr>
          <w:sz w:val="22"/>
          <w:szCs w:val="22"/>
        </w:rPr>
        <w:t xml:space="preserve">  </w:t>
      </w:r>
      <w:r w:rsidRPr="003B1607">
        <w:rPr>
          <w:i/>
          <w:sz w:val="22"/>
          <w:szCs w:val="22"/>
        </w:rPr>
        <w:t xml:space="preserve">predisposizione e gestione atti </w:t>
      </w:r>
    </w:p>
    <w:p w:rsidR="00B36F2E" w:rsidRDefault="00B36F2E" w:rsidP="00B36F2E">
      <w:pPr>
        <w:pStyle w:val="Paragrafoelenco"/>
        <w:ind w:left="3225" w:firstLine="315"/>
        <w:rPr>
          <w:i/>
          <w:sz w:val="22"/>
          <w:szCs w:val="22"/>
        </w:rPr>
      </w:pPr>
      <w:r w:rsidRPr="003B1607">
        <w:rPr>
          <w:i/>
          <w:sz w:val="22"/>
          <w:szCs w:val="22"/>
        </w:rPr>
        <w:t>amministrativi e di bilancio relativi al servizio, responsabile servizio</w:t>
      </w:r>
    </w:p>
    <w:p w:rsidR="00B36F2E" w:rsidRDefault="00B36F2E" w:rsidP="00B36F2E">
      <w:pPr>
        <w:pStyle w:val="Paragrafoelenco"/>
        <w:ind w:left="3540"/>
        <w:rPr>
          <w:i/>
          <w:color w:val="4F6228" w:themeColor="accent3" w:themeShade="80"/>
          <w:sz w:val="22"/>
          <w:szCs w:val="22"/>
        </w:rPr>
      </w:pPr>
      <w:r>
        <w:rPr>
          <w:b/>
          <w:color w:val="4F6228" w:themeColor="accent3" w:themeShade="80"/>
          <w:sz w:val="22"/>
          <w:szCs w:val="22"/>
        </w:rPr>
        <w:t xml:space="preserve">DANIELA MAIOLI, </w:t>
      </w:r>
      <w:r w:rsidRPr="00994DB9">
        <w:rPr>
          <w:i/>
          <w:color w:val="4F6228" w:themeColor="accent3" w:themeShade="80"/>
          <w:sz w:val="22"/>
          <w:szCs w:val="22"/>
        </w:rPr>
        <w:t>collaboratore</w:t>
      </w:r>
      <w:r>
        <w:rPr>
          <w:i/>
          <w:color w:val="4F6228" w:themeColor="accent3" w:themeShade="80"/>
          <w:sz w:val="22"/>
          <w:szCs w:val="22"/>
        </w:rPr>
        <w:t xml:space="preserve"> </w:t>
      </w:r>
    </w:p>
    <w:p w:rsidR="00B36F2E" w:rsidRDefault="00B36F2E" w:rsidP="00B36F2E">
      <w:pPr>
        <w:pStyle w:val="Paragrafoelenco"/>
        <w:ind w:left="3225" w:firstLine="315"/>
        <w:rPr>
          <w:i/>
          <w:sz w:val="22"/>
          <w:szCs w:val="22"/>
        </w:rPr>
      </w:pPr>
      <w:r w:rsidRPr="00140E12">
        <w:rPr>
          <w:b/>
          <w:color w:val="4F6228" w:themeColor="accent3" w:themeShade="80"/>
          <w:sz w:val="22"/>
          <w:szCs w:val="22"/>
        </w:rPr>
        <w:t>DALILA SIMONCINI</w:t>
      </w:r>
      <w:r w:rsidRPr="003B1607">
        <w:rPr>
          <w:b/>
          <w:color w:val="943634" w:themeColor="accent2" w:themeShade="BF"/>
          <w:sz w:val="22"/>
          <w:szCs w:val="22"/>
        </w:rPr>
        <w:t>,</w:t>
      </w:r>
      <w:r w:rsidRPr="003B1607"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collaboratore per TARI e TOSAP</w:t>
      </w:r>
    </w:p>
    <w:p w:rsidR="00B36F2E" w:rsidRPr="003B1607" w:rsidRDefault="00B36F2E" w:rsidP="00B36F2E">
      <w:pPr>
        <w:pStyle w:val="Paragrafoelenco"/>
        <w:ind w:left="3225" w:firstLine="315"/>
        <w:rPr>
          <w:i/>
          <w:sz w:val="22"/>
          <w:szCs w:val="22"/>
        </w:rPr>
      </w:pP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b/>
          <w:bCs/>
        </w:rPr>
      </w:pPr>
      <w:r w:rsidRPr="003B1607">
        <w:rPr>
          <w:sz w:val="22"/>
          <w:szCs w:val="22"/>
        </w:rPr>
        <w:t>impiego di strumentazioni e hardware già in dotazione all’ente</w:t>
      </w:r>
    </w:p>
    <w:p w:rsidR="00B36F2E" w:rsidRPr="003B1607" w:rsidRDefault="00B36F2E" w:rsidP="00B36F2E">
      <w:pPr>
        <w:pStyle w:val="Paragrafoelenco"/>
        <w:numPr>
          <w:ilvl w:val="0"/>
          <w:numId w:val="2"/>
        </w:numPr>
        <w:rPr>
          <w:b/>
          <w:bCs/>
        </w:rPr>
      </w:pPr>
      <w:r w:rsidRPr="003B1607">
        <w:rPr>
          <w:sz w:val="22"/>
          <w:szCs w:val="22"/>
        </w:rPr>
        <w:t>utilizzo software di base ed applicativi Datagraph  e Paleo</w:t>
      </w:r>
    </w:p>
    <w:p w:rsidR="00B36F2E" w:rsidRPr="00A27FD9" w:rsidRDefault="00B36F2E" w:rsidP="00B36F2E">
      <w:pPr>
        <w:pStyle w:val="Paragrafoelenco"/>
        <w:ind w:left="1101"/>
        <w:rPr>
          <w:b/>
          <w:bCs/>
        </w:rPr>
      </w:pPr>
    </w:p>
    <w:p w:rsidR="00B36F2E" w:rsidRPr="00F15FA3" w:rsidRDefault="00B36F2E" w:rsidP="00B36F2E">
      <w:pPr>
        <w:pStyle w:val="Paragrafoelenco"/>
        <w:numPr>
          <w:ilvl w:val="0"/>
          <w:numId w:val="2"/>
        </w:numPr>
        <w:rPr>
          <w:b/>
          <w:bCs/>
        </w:rPr>
      </w:pPr>
      <w:r w:rsidRPr="003B1607">
        <w:rPr>
          <w:sz w:val="22"/>
          <w:szCs w:val="22"/>
        </w:rPr>
        <w:t>a questo servizio fanno capo le attività e procedure riconducibili a:</w:t>
      </w:r>
    </w:p>
    <w:p w:rsidR="00B36F2E" w:rsidRPr="00F15FA3" w:rsidRDefault="00B36F2E" w:rsidP="00B36F2E">
      <w:pPr>
        <w:pStyle w:val="Paragrafoelenco"/>
        <w:rPr>
          <w:b/>
          <w:bCs/>
        </w:rPr>
      </w:pPr>
    </w:p>
    <w:p w:rsidR="00B36F2E" w:rsidRPr="00F15FA3" w:rsidRDefault="00B36F2E" w:rsidP="00B36F2E">
      <w:pPr>
        <w:ind w:left="741"/>
        <w:rPr>
          <w:b/>
          <w:bCs/>
        </w:rPr>
      </w:pP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</w:t>
      </w:r>
      <w:r w:rsidRPr="00233F1F">
        <w:rPr>
          <w:color w:val="000000"/>
        </w:rPr>
        <w:t>esti</w:t>
      </w:r>
      <w:r>
        <w:rPr>
          <w:color w:val="000000"/>
        </w:rPr>
        <w:t>re</w:t>
      </w:r>
      <w:r w:rsidRPr="00233F1F">
        <w:rPr>
          <w:color w:val="000000"/>
        </w:rPr>
        <w:t xml:space="preserve"> i tributi comunali in ogni loro aspetto (disciplina, gestioni posizi</w:t>
      </w:r>
      <w:r>
        <w:rPr>
          <w:color w:val="000000"/>
        </w:rPr>
        <w:t>oni contributive, riscossione)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233F1F">
        <w:rPr>
          <w:color w:val="000000"/>
        </w:rPr>
        <w:t>Provvede</w:t>
      </w:r>
      <w:r>
        <w:rPr>
          <w:color w:val="000000"/>
        </w:rPr>
        <w:t>re</w:t>
      </w:r>
      <w:r w:rsidRPr="00233F1F">
        <w:rPr>
          <w:color w:val="000000"/>
        </w:rPr>
        <w:t xml:space="preserve"> al controllo delle denunce</w:t>
      </w:r>
      <w:r>
        <w:rPr>
          <w:color w:val="000000"/>
        </w:rPr>
        <w:t xml:space="preserve">, delle dichiarazioni di successione, delle variazioni anagrafiche, </w:t>
      </w:r>
      <w:r w:rsidRPr="00233F1F">
        <w:rPr>
          <w:color w:val="000000"/>
        </w:rPr>
        <w:t>dei versamenti</w:t>
      </w:r>
      <w:r>
        <w:rPr>
          <w:color w:val="000000"/>
        </w:rPr>
        <w:t>, dei modelli DOCFA, del MUI, e – mensilmente - delle variazioni</w:t>
      </w:r>
      <w:r w:rsidRPr="00233F1F">
        <w:rPr>
          <w:color w:val="000000"/>
        </w:rPr>
        <w:t xml:space="preserve"> </w:t>
      </w:r>
      <w:r>
        <w:rPr>
          <w:color w:val="000000"/>
        </w:rPr>
        <w:t>catastali relative a frazionamenti, fusioni, vendite, donazioni ecc.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Collaborare con l’Ufficio Anagrafe per la numerazione civica relativa agl’immobili, con l’Ufficio Tecnico per l’inserimento delle aree edificabili previste nel P.R.G.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Collaborare con i contribuenti attraverso l’elaborazione della situazione contributiva e la stampa, alle relative scadenze, del Modello F24 per il pagamento dell’</w:t>
      </w:r>
      <w:proofErr w:type="spellStart"/>
      <w:r>
        <w:rPr>
          <w:color w:val="000000"/>
        </w:rPr>
        <w:t>I.M.U.</w:t>
      </w:r>
      <w:proofErr w:type="spellEnd"/>
      <w:r>
        <w:rPr>
          <w:color w:val="000000"/>
        </w:rPr>
        <w:t xml:space="preserve"> Provvede ad elaborare il Ravvedimento operoso in caso di ritardato pagamento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</w:t>
      </w:r>
      <w:r w:rsidRPr="00233F1F">
        <w:rPr>
          <w:color w:val="000000"/>
        </w:rPr>
        <w:t>orma</w:t>
      </w:r>
      <w:r>
        <w:rPr>
          <w:color w:val="000000"/>
        </w:rPr>
        <w:t>re</w:t>
      </w:r>
      <w:r w:rsidRPr="00233F1F">
        <w:rPr>
          <w:color w:val="000000"/>
        </w:rPr>
        <w:t xml:space="preserve"> gli atti </w:t>
      </w:r>
      <w:r>
        <w:rPr>
          <w:color w:val="000000"/>
        </w:rPr>
        <w:t>di</w:t>
      </w:r>
      <w:r w:rsidRPr="00233F1F">
        <w:rPr>
          <w:color w:val="000000"/>
        </w:rPr>
        <w:t xml:space="preserve"> accertamento del tributo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233F1F">
        <w:rPr>
          <w:color w:val="000000"/>
        </w:rPr>
        <w:t>Forma</w:t>
      </w:r>
      <w:r>
        <w:rPr>
          <w:color w:val="000000"/>
        </w:rPr>
        <w:t>re</w:t>
      </w:r>
      <w:r w:rsidRPr="00233F1F">
        <w:rPr>
          <w:color w:val="000000"/>
        </w:rPr>
        <w:t xml:space="preserve"> </w:t>
      </w:r>
      <w:r>
        <w:rPr>
          <w:color w:val="000000"/>
        </w:rPr>
        <w:t>le liste</w:t>
      </w:r>
      <w:r w:rsidRPr="00233F1F">
        <w:rPr>
          <w:color w:val="000000"/>
        </w:rPr>
        <w:t xml:space="preserve"> per la riscossione</w:t>
      </w:r>
      <w:r>
        <w:rPr>
          <w:color w:val="000000"/>
        </w:rPr>
        <w:t xml:space="preserve"> coattiva</w:t>
      </w:r>
      <w:r w:rsidRPr="00233F1F">
        <w:rPr>
          <w:color w:val="000000"/>
        </w:rPr>
        <w:t xml:space="preserve"> </w:t>
      </w:r>
      <w:r>
        <w:rPr>
          <w:color w:val="000000"/>
        </w:rPr>
        <w:t>da trasmettere al Concessionario</w:t>
      </w:r>
      <w:r w:rsidRPr="00233F1F">
        <w:rPr>
          <w:color w:val="000000"/>
        </w:rPr>
        <w:t>; dispone i rimborsi e provvede a d</w:t>
      </w:r>
      <w:r>
        <w:rPr>
          <w:color w:val="000000"/>
        </w:rPr>
        <w:t>iscaricare le quote inesigibili,</w:t>
      </w:r>
      <w:r w:rsidRPr="00233F1F">
        <w:rPr>
          <w:color w:val="000000"/>
        </w:rPr>
        <w:t xml:space="preserve"> cura l'informazione al contribuente; predispone la modulistica</w:t>
      </w:r>
      <w:r>
        <w:rPr>
          <w:color w:val="000000"/>
        </w:rPr>
        <w:t xml:space="preserve"> </w:t>
      </w:r>
      <w:r w:rsidRPr="00233F1F">
        <w:rPr>
          <w:color w:val="000000"/>
        </w:rPr>
        <w:t>inerente l'attività di istituto;</w:t>
      </w:r>
    </w:p>
    <w:p w:rsidR="00B36F2E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Curare l’elaborazione dei dati tributari da pubblicare sul sito</w:t>
      </w:r>
    </w:p>
    <w:p w:rsidR="00B36F2E" w:rsidRPr="00233F1F" w:rsidRDefault="00B36F2E" w:rsidP="00B36F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Gestire il</w:t>
      </w:r>
      <w:r w:rsidRPr="00B415B3">
        <w:rPr>
          <w:color w:val="000000"/>
        </w:rPr>
        <w:t xml:space="preserve"> contenzioso relativo ai vari tributi </w:t>
      </w:r>
      <w:r>
        <w:rPr>
          <w:color w:val="000000"/>
        </w:rPr>
        <w:t>compresa la rappresentanza in giudizio.</w:t>
      </w:r>
    </w:p>
    <w:p w:rsidR="00375C74" w:rsidRDefault="00375C74" w:rsidP="00375C74">
      <w:pPr>
        <w:rPr>
          <w:rStyle w:val="Enfasigrassetto"/>
          <w:sz w:val="28"/>
          <w:szCs w:val="28"/>
        </w:rPr>
      </w:pPr>
    </w:p>
    <w:p w:rsidR="0066212B" w:rsidRDefault="0066212B" w:rsidP="00375C74">
      <w:pPr>
        <w:rPr>
          <w:rStyle w:val="Enfasigrassetto"/>
          <w:sz w:val="28"/>
          <w:szCs w:val="28"/>
        </w:rPr>
      </w:pPr>
    </w:p>
    <w:p w:rsidR="0066212B" w:rsidRDefault="0066212B" w:rsidP="00375C74">
      <w:pPr>
        <w:rPr>
          <w:rStyle w:val="Enfasigrassetto"/>
          <w:sz w:val="28"/>
          <w:szCs w:val="28"/>
        </w:rPr>
      </w:pPr>
    </w:p>
    <w:p w:rsidR="0066212B" w:rsidRDefault="0066212B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B36F2E" w:rsidRDefault="00B36F2E" w:rsidP="00375C74">
      <w:pPr>
        <w:rPr>
          <w:rStyle w:val="Enfasigrassetto"/>
          <w:sz w:val="28"/>
          <w:szCs w:val="28"/>
        </w:rPr>
      </w:pPr>
    </w:p>
    <w:p w:rsidR="0066212B" w:rsidRDefault="0066212B" w:rsidP="00375C74">
      <w:pPr>
        <w:rPr>
          <w:rStyle w:val="Enfasigrassetto"/>
          <w:sz w:val="28"/>
          <w:szCs w:val="28"/>
        </w:rPr>
      </w:pPr>
    </w:p>
    <w:p w:rsidR="0066212B" w:rsidRDefault="0066212B" w:rsidP="0066212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Enfasigrassetto"/>
          <w:sz w:val="28"/>
          <w:szCs w:val="28"/>
        </w:rPr>
      </w:pPr>
      <w:r w:rsidRPr="003B1607">
        <w:rPr>
          <w:rStyle w:val="Enfasigrassetto"/>
          <w:sz w:val="28"/>
          <w:szCs w:val="28"/>
        </w:rPr>
        <w:t>OBIETTIVI STRATEGICI</w:t>
      </w:r>
      <w:r>
        <w:rPr>
          <w:rStyle w:val="Enfasigrassetto"/>
          <w:sz w:val="28"/>
          <w:szCs w:val="28"/>
        </w:rPr>
        <w:t xml:space="preserve"> 2017</w:t>
      </w:r>
      <w:r w:rsidRPr="003B1607">
        <w:rPr>
          <w:rStyle w:val="Enfasigrassetto"/>
          <w:sz w:val="28"/>
          <w:szCs w:val="28"/>
        </w:rPr>
        <w:t>:</w:t>
      </w:r>
    </w:p>
    <w:p w:rsidR="0066212B" w:rsidRDefault="0066212B" w:rsidP="00375C74"/>
    <w:p w:rsidR="00375C74" w:rsidRDefault="00375C74" w:rsidP="00375C74">
      <w:pPr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9"/>
        <w:gridCol w:w="7006"/>
      </w:tblGrid>
      <w:tr w:rsidR="00375C74" w:rsidTr="007169E5">
        <w:trPr>
          <w:cantSplit/>
        </w:trPr>
        <w:tc>
          <w:tcPr>
            <w:tcW w:w="2590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 xml:space="preserve">Obiettivo strategico </w:t>
            </w:r>
          </w:p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 xml:space="preserve">n. </w:t>
            </w:r>
            <w:r w:rsidRPr="00C06D35">
              <w:rPr>
                <w:i/>
                <w:color w:val="4F6228" w:themeColor="accent3" w:themeShade="80"/>
                <w:sz w:val="40"/>
                <w:szCs w:val="40"/>
              </w:rPr>
              <w:t>1</w:t>
            </w:r>
          </w:p>
        </w:tc>
        <w:tc>
          <w:tcPr>
            <w:tcW w:w="7545" w:type="dxa"/>
            <w:vAlign w:val="center"/>
          </w:tcPr>
          <w:p w:rsidR="00375C74" w:rsidRDefault="00375C74" w:rsidP="00774B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RENDICONTO IN CONTABILITA’ ECONOMICO-PATRIMONIALE</w:t>
            </w:r>
          </w:p>
          <w:p w:rsidR="00375C74" w:rsidRPr="00A1654C" w:rsidRDefault="00375C74" w:rsidP="007169E5"/>
        </w:tc>
      </w:tr>
      <w:tr w:rsidR="00375C74" w:rsidTr="007169E5">
        <w:trPr>
          <w:cantSplit/>
          <w:trHeight w:val="804"/>
        </w:trPr>
        <w:tc>
          <w:tcPr>
            <w:tcW w:w="2590" w:type="dxa"/>
            <w:vAlign w:val="center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Descrizione</w:t>
            </w:r>
          </w:p>
        </w:tc>
        <w:tc>
          <w:tcPr>
            <w:tcW w:w="7545" w:type="dxa"/>
            <w:vAlign w:val="center"/>
          </w:tcPr>
          <w:p w:rsidR="00375C74" w:rsidRPr="00774B9F" w:rsidRDefault="00375C74" w:rsidP="00774B9F">
            <w:pPr>
              <w:autoSpaceDE w:val="0"/>
              <w:autoSpaceDN w:val="0"/>
              <w:adjustRightInd w:val="0"/>
            </w:pPr>
            <w:r w:rsidRPr="00774B9F">
              <w:rPr>
                <w:sz w:val="22"/>
                <w:szCs w:val="22"/>
              </w:rPr>
              <w:t xml:space="preserve">Adozione del principio di contabilità economico-patrimoniale (Allegato 4.3 del Decreto Legislativo n. 118/2011) e conseguente affiancamento della contabilità economico-patrimoniale alla contabilità finanziaria, ai sensi dell’articolo 3, comma 12 del Decreto n. 118/2011. </w:t>
            </w:r>
          </w:p>
        </w:tc>
      </w:tr>
      <w:tr w:rsidR="00375C74" w:rsidTr="007169E5">
        <w:tc>
          <w:tcPr>
            <w:tcW w:w="2590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Scadenza</w:t>
            </w:r>
          </w:p>
        </w:tc>
        <w:tc>
          <w:tcPr>
            <w:tcW w:w="7545" w:type="dxa"/>
          </w:tcPr>
          <w:p w:rsidR="00375C74" w:rsidRPr="00A1654C" w:rsidRDefault="00375C74" w:rsidP="007169E5">
            <w:pPr>
              <w:rPr>
                <w:b/>
              </w:rPr>
            </w:pPr>
            <w:r w:rsidRPr="00A1654C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375C74" w:rsidTr="007169E5">
        <w:tc>
          <w:tcPr>
            <w:tcW w:w="2590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Peso</w:t>
            </w:r>
          </w:p>
        </w:tc>
        <w:tc>
          <w:tcPr>
            <w:tcW w:w="7545" w:type="dxa"/>
          </w:tcPr>
          <w:p w:rsidR="00375C74" w:rsidRPr="00A1654C" w:rsidRDefault="00375C74" w:rsidP="007169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1654C">
              <w:rPr>
                <w:b/>
                <w:sz w:val="22"/>
                <w:szCs w:val="22"/>
              </w:rPr>
              <w:t xml:space="preserve">0%  </w:t>
            </w:r>
          </w:p>
        </w:tc>
      </w:tr>
      <w:tr w:rsidR="00375C74" w:rsidTr="007169E5">
        <w:tc>
          <w:tcPr>
            <w:tcW w:w="2590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Indicatore Performance/Risultato</w:t>
            </w:r>
          </w:p>
        </w:tc>
        <w:tc>
          <w:tcPr>
            <w:tcW w:w="7545" w:type="dxa"/>
            <w:vAlign w:val="center"/>
          </w:tcPr>
          <w:p w:rsidR="00375C74" w:rsidRPr="00A1654C" w:rsidRDefault="00375C74" w:rsidP="007169E5">
            <w:r w:rsidRPr="00A1654C">
              <w:rPr>
                <w:b/>
                <w:bCs/>
                <w:sz w:val="22"/>
                <w:szCs w:val="22"/>
              </w:rPr>
              <w:t>Rispetto dei tempi</w:t>
            </w:r>
          </w:p>
        </w:tc>
      </w:tr>
    </w:tbl>
    <w:p w:rsidR="00375C74" w:rsidRDefault="00375C74" w:rsidP="00375C74"/>
    <w:p w:rsidR="00375C74" w:rsidRPr="00C06D35" w:rsidRDefault="00375C74" w:rsidP="00375C74">
      <w:pPr>
        <w:pStyle w:val="Titolo1"/>
        <w:spacing w:before="0"/>
        <w:jc w:val="center"/>
        <w:rPr>
          <w:color w:val="4F6228" w:themeColor="accent3" w:themeShade="80"/>
        </w:rPr>
      </w:pPr>
      <w:r w:rsidRPr="00C06D35">
        <w:rPr>
          <w:color w:val="4F6228" w:themeColor="accent3" w:themeShade="80"/>
        </w:rPr>
        <w:t>MACRO-AZIONI NECESSARIE</w:t>
      </w:r>
    </w:p>
    <w:p w:rsidR="00375C74" w:rsidRPr="00C06D35" w:rsidRDefault="00375C74" w:rsidP="00375C74">
      <w:pPr>
        <w:pStyle w:val="Titolo1"/>
        <w:spacing w:before="0"/>
        <w:jc w:val="center"/>
        <w:rPr>
          <w:color w:val="4F6228" w:themeColor="accent3" w:themeShade="80"/>
        </w:rPr>
      </w:pPr>
      <w:r w:rsidRPr="00C06D35">
        <w:rPr>
          <w:color w:val="4F6228" w:themeColor="accent3" w:themeShade="80"/>
        </w:rPr>
        <w:t>PER IL RAGGIUNGIMENTO DELL’OBIETTIVO</w:t>
      </w:r>
    </w:p>
    <w:p w:rsidR="00375C74" w:rsidRPr="00C06D35" w:rsidRDefault="00375C74" w:rsidP="00375C74">
      <w:pPr>
        <w:rPr>
          <w:color w:val="4F6228" w:themeColor="accent3" w:themeShade="80"/>
          <w:sz w:val="16"/>
        </w:rPr>
      </w:pPr>
    </w:p>
    <w:p w:rsidR="00375C74" w:rsidRPr="00E505CA" w:rsidRDefault="00375C74" w:rsidP="00375C74">
      <w:pPr>
        <w:rPr>
          <w:sz w:val="10"/>
          <w:szCs w:val="1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  <w:gridCol w:w="1453"/>
        <w:gridCol w:w="3225"/>
      </w:tblGrid>
      <w:tr w:rsidR="00375C74" w:rsidTr="007169E5">
        <w:tc>
          <w:tcPr>
            <w:tcW w:w="69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</w:t>
            </w:r>
          </w:p>
        </w:tc>
      </w:tr>
      <w:tr w:rsidR="00375C74" w:rsidTr="007169E5">
        <w:tc>
          <w:tcPr>
            <w:tcW w:w="6910" w:type="dxa"/>
            <w:gridSpan w:val="2"/>
            <w:tcBorders>
              <w:top w:val="single" w:sz="12" w:space="0" w:color="auto"/>
            </w:tcBorders>
          </w:tcPr>
          <w:p w:rsidR="00375C74" w:rsidRPr="00FD36C7" w:rsidRDefault="00375C74" w:rsidP="00774B9F">
            <w:pPr>
              <w:autoSpaceDE w:val="0"/>
              <w:autoSpaceDN w:val="0"/>
              <w:adjustRightInd w:val="0"/>
              <w:rPr>
                <w:b/>
              </w:rPr>
            </w:pPr>
            <w:r w:rsidRPr="00897079">
              <w:rPr>
                <w:b/>
                <w:u w:val="single"/>
              </w:rPr>
              <w:t>Fase 1</w:t>
            </w:r>
            <w:r w:rsidRPr="00FD36C7">
              <w:rPr>
                <w:b/>
              </w:rPr>
              <w:t xml:space="preserve">: </w:t>
            </w:r>
            <w:r w:rsidRPr="00E867BC">
              <w:t>Analisi del quadro normativo</w:t>
            </w:r>
            <w:r w:rsidRPr="00FD36C7">
              <w:rPr>
                <w:b/>
              </w:rPr>
              <w:t xml:space="preserve"> </w:t>
            </w:r>
          </w:p>
          <w:p w:rsidR="00375C74" w:rsidRPr="00FD36C7" w:rsidRDefault="00375C74" w:rsidP="00774B9F">
            <w:pPr>
              <w:autoSpaceDE w:val="0"/>
              <w:autoSpaceDN w:val="0"/>
              <w:adjustRightInd w:val="0"/>
              <w:rPr>
                <w:b/>
              </w:rPr>
            </w:pPr>
            <w:r w:rsidRPr="00897079">
              <w:rPr>
                <w:b/>
                <w:u w:val="single"/>
              </w:rPr>
              <w:t>Fase 2</w:t>
            </w:r>
            <w:r w:rsidRPr="00FD36C7">
              <w:rPr>
                <w:b/>
              </w:rPr>
              <w:t xml:space="preserve">: </w:t>
            </w:r>
            <w:r w:rsidRPr="00E867BC">
              <w:t>Riclassificazione e rivalutazione dello stato patrimoniale dell’Ente secondo l’articolazione prevista dallo schema di Stato patrimoniale armonizzato (Decreto Legislativo n. 118/2011)</w:t>
            </w:r>
          </w:p>
          <w:p w:rsidR="00375C74" w:rsidRPr="00E867BC" w:rsidRDefault="00375C74" w:rsidP="00774B9F">
            <w:pPr>
              <w:autoSpaceDE w:val="0"/>
              <w:autoSpaceDN w:val="0"/>
              <w:adjustRightInd w:val="0"/>
            </w:pPr>
            <w:r w:rsidRPr="00897079">
              <w:rPr>
                <w:b/>
                <w:u w:val="single"/>
              </w:rPr>
              <w:t>Fase 3</w:t>
            </w:r>
            <w:r w:rsidRPr="00FD36C7">
              <w:rPr>
                <w:b/>
              </w:rPr>
              <w:t xml:space="preserve">: </w:t>
            </w:r>
            <w:r w:rsidRPr="00E867BC">
              <w:t>Applicazione dei criteri di valutazione dell’attivo e del passivo previsti dal principio applicato della contabilità economico patrimoniale allo Stato Patrimoniale riclassificato.</w:t>
            </w:r>
          </w:p>
          <w:p w:rsidR="00375C74" w:rsidRPr="00E867BC" w:rsidRDefault="00375C74" w:rsidP="00774B9F">
            <w:pPr>
              <w:autoSpaceDE w:val="0"/>
              <w:autoSpaceDN w:val="0"/>
              <w:adjustRightInd w:val="0"/>
            </w:pPr>
            <w:r w:rsidRPr="00897079">
              <w:rPr>
                <w:b/>
                <w:u w:val="single"/>
              </w:rPr>
              <w:t>Fase 4</w:t>
            </w:r>
            <w:r w:rsidRPr="00FD36C7">
              <w:rPr>
                <w:b/>
              </w:rPr>
              <w:t xml:space="preserve">: </w:t>
            </w:r>
            <w:r w:rsidRPr="00E867BC">
              <w:t>Predisposizione di una tabella che, per ciascuna delle voci dell’inventario e dello Stato Patrimoniale riclassificato, affianca gli importo di chiusura del precedente esercizio, gli importi attribuiti a seguito del processo di rivalutazione e le differenze di valutazione, negative e positive.</w:t>
            </w:r>
          </w:p>
          <w:p w:rsidR="00375C74" w:rsidRDefault="00375C74" w:rsidP="00774B9F">
            <w:pPr>
              <w:autoSpaceDE w:val="0"/>
              <w:autoSpaceDN w:val="0"/>
              <w:adjustRightInd w:val="0"/>
            </w:pPr>
            <w:r w:rsidRPr="00897079">
              <w:rPr>
                <w:b/>
                <w:u w:val="single"/>
              </w:rPr>
              <w:t>Fase 5</w:t>
            </w:r>
            <w:r w:rsidRPr="00FD36C7">
              <w:rPr>
                <w:b/>
              </w:rPr>
              <w:t xml:space="preserve">: </w:t>
            </w:r>
            <w:r w:rsidRPr="00E867BC">
              <w:t>Entro il termine  di approvazione del Rendiconto 2017, presentazione al Consiglio Comunale, di una proposta di deliberazione che dimostri i prospetti riguardanti l’inventario e lo stato patrimoniale al 1° gennaio dell’esercizio 2017 riclassificati e rivalutati nel rispetto dei principi della nuova contabilità economico-patrimoniale armonizzata, con l’indicazione delle differenze di rivalutazione, unitamente ad un prospetto che evidenzia il raccordo tra la vecchia e la nuova classificazione.</w:t>
            </w:r>
          </w:p>
        </w:tc>
        <w:tc>
          <w:tcPr>
            <w:tcW w:w="3225" w:type="dxa"/>
            <w:tcBorders>
              <w:top w:val="single" w:sz="12" w:space="0" w:color="auto"/>
            </w:tcBorders>
            <w:vAlign w:val="center"/>
          </w:tcPr>
          <w:p w:rsidR="00375C74" w:rsidRPr="00C17B73" w:rsidRDefault="00375C74" w:rsidP="007169E5">
            <w:pPr>
              <w:jc w:val="center"/>
              <w:rPr>
                <w:b/>
              </w:rPr>
            </w:pPr>
            <w:r w:rsidRPr="00C17B73">
              <w:rPr>
                <w:b/>
              </w:rPr>
              <w:t>Esmeralda Forlani</w:t>
            </w:r>
          </w:p>
        </w:tc>
      </w:tr>
      <w:tr w:rsidR="00375C74" w:rsidTr="007169E5">
        <w:trPr>
          <w:cantSplit/>
          <w:trHeight w:val="311"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Coinvolto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Risorse Finanziarie Specifiche</w:t>
            </w:r>
          </w:p>
        </w:tc>
      </w:tr>
      <w:tr w:rsidR="00375C74" w:rsidTr="007169E5">
        <w:trPr>
          <w:trHeight w:val="307"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C74" w:rsidRPr="001358CD" w:rsidRDefault="00375C74" w:rsidP="007169E5">
            <w:pPr>
              <w:rPr>
                <w:bCs/>
              </w:rPr>
            </w:pPr>
            <w:r w:rsidRPr="001358CD">
              <w:rPr>
                <w:bCs/>
              </w:rPr>
              <w:t>Forlani</w:t>
            </w:r>
            <w:r>
              <w:rPr>
                <w:bCs/>
              </w:rPr>
              <w:t xml:space="preserve"> </w:t>
            </w:r>
            <w:r w:rsidRPr="001358CD">
              <w:rPr>
                <w:bCs/>
              </w:rPr>
              <w:t>Esmeralda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C74" w:rsidRPr="001358CD" w:rsidRDefault="00375C74" w:rsidP="007169E5">
            <w:pPr>
              <w:jc w:val="center"/>
              <w:rPr>
                <w:bCs/>
              </w:rPr>
            </w:pPr>
            <w:r w:rsidRPr="001358CD">
              <w:rPr>
                <w:bCs/>
              </w:rPr>
              <w:t>€ 0,00</w:t>
            </w:r>
          </w:p>
        </w:tc>
      </w:tr>
      <w:tr w:rsidR="00375C74" w:rsidTr="007169E5">
        <w:trPr>
          <w:trHeight w:val="307"/>
        </w:trPr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C74" w:rsidRDefault="00375C74" w:rsidP="007169E5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Risorse strumentali da utilizzare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C74" w:rsidRPr="001358CD" w:rsidRDefault="00375C74" w:rsidP="00774B9F">
            <w:pPr>
              <w:rPr>
                <w:bCs/>
              </w:rPr>
            </w:pPr>
            <w:r w:rsidRPr="001358CD">
              <w:rPr>
                <w:bCs/>
              </w:rPr>
              <w:t>Impiego di hardware e software di base a applicativi, già in possesso.</w:t>
            </w:r>
          </w:p>
        </w:tc>
      </w:tr>
    </w:tbl>
    <w:p w:rsidR="00375C74" w:rsidRDefault="00375C74" w:rsidP="00375C74">
      <w:pPr>
        <w:pStyle w:val="Titolo1"/>
        <w:spacing w:before="0"/>
        <w:rPr>
          <w:color w:val="4F6228" w:themeColor="accent3" w:themeShade="80"/>
        </w:rPr>
      </w:pPr>
    </w:p>
    <w:p w:rsidR="00B36F2E" w:rsidRDefault="00B36F2E" w:rsidP="00B36F2E"/>
    <w:p w:rsidR="00B36F2E" w:rsidRPr="00E10384" w:rsidRDefault="00B36F2E" w:rsidP="00B36F2E">
      <w:pPr>
        <w:jc w:val="center"/>
        <w:rPr>
          <w:b/>
          <w:u w:val="single"/>
        </w:rPr>
      </w:pPr>
      <w:r w:rsidRPr="00E10384">
        <w:rPr>
          <w:b/>
          <w:u w:val="single"/>
        </w:rPr>
        <w:t>ATTUAZIONE</w:t>
      </w:r>
    </w:p>
    <w:p w:rsidR="00B36F2E" w:rsidRDefault="00B36F2E" w:rsidP="00B36F2E">
      <w:pPr>
        <w:jc w:val="both"/>
      </w:pPr>
    </w:p>
    <w:p w:rsidR="00B36F2E" w:rsidRPr="008C5EAD" w:rsidRDefault="00B36F2E" w:rsidP="00B36F2E">
      <w:pPr>
        <w:autoSpaceDE w:val="0"/>
        <w:autoSpaceDN w:val="0"/>
        <w:adjustRightInd w:val="0"/>
        <w:jc w:val="both"/>
      </w:pPr>
      <w:r>
        <w:t xml:space="preserve">In data </w:t>
      </w:r>
      <w:r w:rsidR="00493750">
        <w:t>04.12</w:t>
      </w:r>
      <w:r>
        <w:t xml:space="preserve">.2017 </w:t>
      </w:r>
      <w:r w:rsidR="00493750">
        <w:t xml:space="preserve">la Giunta Comunale, </w:t>
      </w:r>
      <w:r>
        <w:t xml:space="preserve">con provvedimento n. </w:t>
      </w:r>
      <w:r w:rsidR="00493750">
        <w:t xml:space="preserve">70, ha provveduto alla riclassificazione delle voci </w:t>
      </w:r>
      <w:r w:rsidR="00774B9F">
        <w:t>dello Stato patrimoniale</w:t>
      </w:r>
      <w:r w:rsidR="00493750">
        <w:t xml:space="preserve"> chiuso il 31.12.2016,  all’approvazione dei saldi iniziali dello </w:t>
      </w:r>
      <w:r w:rsidR="00774B9F">
        <w:t>stesso</w:t>
      </w:r>
      <w:r w:rsidR="00493750">
        <w:t xml:space="preserve"> ed alla valutazione dei beni mobili al 01.01.2017 nonché alla definizione del nuovo Patrimonio netto con la costituzione delle riserve al 01.01.2017</w:t>
      </w:r>
      <w:r w:rsidR="00674B77">
        <w:t>, così come previsto dal</w:t>
      </w:r>
      <w:r w:rsidR="00493750" w:rsidRPr="00493750">
        <w:t xml:space="preserve"> </w:t>
      </w:r>
      <w:r>
        <w:t xml:space="preserve">Decreto Legislativo n. 118 del 23.06.2011. </w:t>
      </w:r>
    </w:p>
    <w:p w:rsidR="00B36F2E" w:rsidRDefault="00B36F2E" w:rsidP="00B36F2E">
      <w:pPr>
        <w:autoSpaceDE w:val="0"/>
        <w:autoSpaceDN w:val="0"/>
        <w:adjustRightInd w:val="0"/>
        <w:jc w:val="both"/>
        <w:rPr>
          <w:rFonts w:ascii="sole_text" w:hAnsi="sole_text" w:cs="Helvetica"/>
          <w:color w:val="1A171B"/>
        </w:rPr>
      </w:pPr>
    </w:p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Default="00B36F2E" w:rsidP="00B36F2E"/>
    <w:p w:rsidR="00B36F2E" w:rsidRPr="00B36F2E" w:rsidRDefault="00B36F2E" w:rsidP="00B36F2E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9"/>
        <w:gridCol w:w="7006"/>
      </w:tblGrid>
      <w:tr w:rsidR="00375C74" w:rsidTr="007169E5">
        <w:trPr>
          <w:cantSplit/>
        </w:trPr>
        <w:tc>
          <w:tcPr>
            <w:tcW w:w="3129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lastRenderedPageBreak/>
              <w:t xml:space="preserve">Obiettivo strategico </w:t>
            </w:r>
          </w:p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 xml:space="preserve">n. </w:t>
            </w:r>
            <w:r w:rsidRPr="00C06D35">
              <w:rPr>
                <w:i/>
                <w:color w:val="4F6228" w:themeColor="accent3" w:themeShade="80"/>
                <w:sz w:val="40"/>
                <w:szCs w:val="40"/>
              </w:rPr>
              <w:t>2</w:t>
            </w:r>
          </w:p>
        </w:tc>
        <w:tc>
          <w:tcPr>
            <w:tcW w:w="7006" w:type="dxa"/>
          </w:tcPr>
          <w:p w:rsidR="00375C74" w:rsidRPr="00774B9F" w:rsidRDefault="00774B9F" w:rsidP="007169E5">
            <w:pPr>
              <w:rPr>
                <w:sz w:val="23"/>
                <w:szCs w:val="23"/>
              </w:rPr>
            </w:pPr>
            <w:r w:rsidRPr="00774B9F">
              <w:rPr>
                <w:b/>
                <w:bCs/>
                <w:sz w:val="23"/>
                <w:szCs w:val="23"/>
              </w:rPr>
              <w:t>BILANCIO CONSOLIDATO ANNO 2017 IN APPLICAZIONE DEL PRINCIPIO CONTABILE 4/4</w:t>
            </w:r>
          </w:p>
        </w:tc>
      </w:tr>
      <w:tr w:rsidR="00375C74" w:rsidTr="007169E5">
        <w:trPr>
          <w:cantSplit/>
          <w:trHeight w:val="804"/>
        </w:trPr>
        <w:tc>
          <w:tcPr>
            <w:tcW w:w="3129" w:type="dxa"/>
            <w:vAlign w:val="center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Descrizione</w:t>
            </w:r>
          </w:p>
        </w:tc>
        <w:tc>
          <w:tcPr>
            <w:tcW w:w="7006" w:type="dxa"/>
            <w:vAlign w:val="center"/>
          </w:tcPr>
          <w:p w:rsidR="00375C74" w:rsidRDefault="00375C74" w:rsidP="00774B9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Redazione del Bilancio consolidato che rappresenta la situazione finanziaria e patrimoniale ed il risultato economico della complessiva attività svolta dall’Ente attraverso le proprie articolazioni organizzative e le sue società partecipate.</w:t>
            </w:r>
          </w:p>
          <w:p w:rsidR="00375C74" w:rsidRPr="00525070" w:rsidRDefault="00375C74" w:rsidP="00774B9F">
            <w:pPr>
              <w:autoSpaceDE w:val="0"/>
              <w:autoSpaceDN w:val="0"/>
              <w:adjustRightInd w:val="0"/>
            </w:pPr>
          </w:p>
        </w:tc>
      </w:tr>
      <w:tr w:rsidR="00375C74" w:rsidTr="007169E5">
        <w:tc>
          <w:tcPr>
            <w:tcW w:w="3129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Scadenza</w:t>
            </w:r>
          </w:p>
        </w:tc>
        <w:tc>
          <w:tcPr>
            <w:tcW w:w="7006" w:type="dxa"/>
          </w:tcPr>
          <w:p w:rsidR="00375C74" w:rsidRPr="00B30E1D" w:rsidRDefault="00375C74" w:rsidP="007169E5">
            <w:pPr>
              <w:rPr>
                <w:b/>
              </w:rPr>
            </w:pPr>
            <w:r>
              <w:rPr>
                <w:b/>
              </w:rPr>
              <w:t>31/12/2017</w:t>
            </w:r>
          </w:p>
        </w:tc>
      </w:tr>
      <w:tr w:rsidR="00375C74" w:rsidTr="007169E5">
        <w:tc>
          <w:tcPr>
            <w:tcW w:w="3129" w:type="dxa"/>
          </w:tcPr>
          <w:p w:rsidR="00375C74" w:rsidRPr="005C7CC1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5C7CC1">
              <w:rPr>
                <w:color w:val="4F6228" w:themeColor="accent3" w:themeShade="80"/>
              </w:rPr>
              <w:t>Peso</w:t>
            </w:r>
          </w:p>
        </w:tc>
        <w:tc>
          <w:tcPr>
            <w:tcW w:w="7006" w:type="dxa"/>
          </w:tcPr>
          <w:p w:rsidR="00375C74" w:rsidRPr="005C7CC1" w:rsidRDefault="00375C74" w:rsidP="007169E5">
            <w:pPr>
              <w:rPr>
                <w:b/>
              </w:rPr>
            </w:pPr>
            <w:r>
              <w:rPr>
                <w:b/>
              </w:rPr>
              <w:t>3</w:t>
            </w:r>
            <w:r w:rsidRPr="005C7CC1">
              <w:rPr>
                <w:b/>
              </w:rPr>
              <w:t xml:space="preserve">0%  </w:t>
            </w:r>
          </w:p>
        </w:tc>
      </w:tr>
      <w:tr w:rsidR="00375C74" w:rsidTr="007169E5">
        <w:tc>
          <w:tcPr>
            <w:tcW w:w="3129" w:type="dxa"/>
          </w:tcPr>
          <w:p w:rsidR="00375C74" w:rsidRPr="00C06D35" w:rsidRDefault="00375C74" w:rsidP="007169E5">
            <w:pPr>
              <w:pStyle w:val="Titolo1"/>
              <w:spacing w:before="0"/>
              <w:rPr>
                <w:color w:val="4F6228" w:themeColor="accent3" w:themeShade="80"/>
              </w:rPr>
            </w:pPr>
            <w:r w:rsidRPr="00C06D35">
              <w:rPr>
                <w:color w:val="4F6228" w:themeColor="accent3" w:themeShade="80"/>
              </w:rPr>
              <w:t>Indicatore Performance/Risultato</w:t>
            </w:r>
          </w:p>
        </w:tc>
        <w:tc>
          <w:tcPr>
            <w:tcW w:w="7006" w:type="dxa"/>
            <w:vAlign w:val="center"/>
          </w:tcPr>
          <w:p w:rsidR="00375C74" w:rsidRDefault="00375C74" w:rsidP="00774B9F">
            <w:pPr>
              <w:autoSpaceDE w:val="0"/>
              <w:autoSpaceDN w:val="0"/>
              <w:adjustRightInd w:val="0"/>
            </w:pPr>
            <w:r w:rsidRPr="00196AB1">
              <w:rPr>
                <w:bCs/>
                <w:sz w:val="22"/>
                <w:szCs w:val="22"/>
              </w:rPr>
              <w:t>Predisposizione di tutti gli atti necessari al raggiungimento</w:t>
            </w:r>
            <w:r w:rsidR="00774B9F">
              <w:rPr>
                <w:bCs/>
                <w:sz w:val="22"/>
                <w:szCs w:val="22"/>
              </w:rPr>
              <w:t xml:space="preserve"> </w:t>
            </w:r>
            <w:r w:rsidRPr="00196AB1">
              <w:rPr>
                <w:bCs/>
                <w:sz w:val="22"/>
                <w:szCs w:val="22"/>
              </w:rPr>
              <w:t>dell’obiettivo</w:t>
            </w:r>
            <w:r w:rsidRPr="00196AB1">
              <w:rPr>
                <w:sz w:val="22"/>
                <w:szCs w:val="22"/>
              </w:rPr>
              <w:t xml:space="preserve"> nel rispetto della normativa di riferimento.</w:t>
            </w:r>
          </w:p>
        </w:tc>
      </w:tr>
    </w:tbl>
    <w:p w:rsidR="00375C74" w:rsidRDefault="00375C74" w:rsidP="00375C74"/>
    <w:p w:rsidR="00375C74" w:rsidRDefault="00375C74" w:rsidP="00375C74">
      <w:pPr>
        <w:rPr>
          <w:sz w:val="16"/>
        </w:rPr>
      </w:pPr>
    </w:p>
    <w:p w:rsidR="00375C74" w:rsidRPr="00C06D35" w:rsidRDefault="00375C74" w:rsidP="00375C74">
      <w:pPr>
        <w:pStyle w:val="Titolo1"/>
        <w:spacing w:before="0"/>
        <w:jc w:val="center"/>
        <w:rPr>
          <w:color w:val="4F6228" w:themeColor="accent3" w:themeShade="80"/>
        </w:rPr>
      </w:pPr>
      <w:r w:rsidRPr="00C06D35">
        <w:rPr>
          <w:color w:val="4F6228" w:themeColor="accent3" w:themeShade="80"/>
        </w:rPr>
        <w:t>MACRO-AZIONI NECESSARIE</w:t>
      </w:r>
    </w:p>
    <w:p w:rsidR="00375C74" w:rsidRPr="00C06D35" w:rsidRDefault="00375C74" w:rsidP="00375C74">
      <w:pPr>
        <w:pStyle w:val="Titolo1"/>
        <w:spacing w:before="0"/>
        <w:jc w:val="center"/>
        <w:rPr>
          <w:color w:val="4F6228" w:themeColor="accent3" w:themeShade="80"/>
        </w:rPr>
      </w:pPr>
      <w:r w:rsidRPr="00C06D35">
        <w:rPr>
          <w:color w:val="4F6228" w:themeColor="accent3" w:themeShade="80"/>
        </w:rPr>
        <w:t>PER IL RAGGIUNGIMENTO DELL’OBIETTIVO</w:t>
      </w:r>
    </w:p>
    <w:p w:rsidR="00375C74" w:rsidRDefault="00375C74" w:rsidP="00375C74">
      <w:pPr>
        <w:rPr>
          <w:sz w:val="16"/>
        </w:rPr>
      </w:pPr>
    </w:p>
    <w:p w:rsidR="00375C74" w:rsidRDefault="00375C74" w:rsidP="00375C74"/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  <w:gridCol w:w="1453"/>
        <w:gridCol w:w="3225"/>
      </w:tblGrid>
      <w:tr w:rsidR="00375C74" w:rsidTr="007169E5">
        <w:tc>
          <w:tcPr>
            <w:tcW w:w="69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</w:p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</w:t>
            </w:r>
          </w:p>
        </w:tc>
      </w:tr>
      <w:tr w:rsidR="00375C74" w:rsidTr="007169E5">
        <w:tc>
          <w:tcPr>
            <w:tcW w:w="6910" w:type="dxa"/>
            <w:gridSpan w:val="2"/>
            <w:tcBorders>
              <w:top w:val="single" w:sz="12" w:space="0" w:color="auto"/>
            </w:tcBorders>
          </w:tcPr>
          <w:p w:rsidR="00375C74" w:rsidRDefault="00375C74" w:rsidP="00774B9F">
            <w:r w:rsidRPr="00C553F3">
              <w:rPr>
                <w:b/>
                <w:u w:val="single"/>
              </w:rPr>
              <w:t>Fase 1</w:t>
            </w:r>
            <w:r>
              <w:t>: Individuazione degli Enti da considerare per la redazione del Bilancio consolidato attraverso la predisposizione ed approvazione in Giunta di due distinti elenchi concernenti:</w:t>
            </w:r>
          </w:p>
          <w:p w:rsidR="00375C74" w:rsidRDefault="00375C74" w:rsidP="00774B9F">
            <w:pPr>
              <w:pStyle w:val="Paragrafoelenco"/>
              <w:numPr>
                <w:ilvl w:val="0"/>
                <w:numId w:val="1"/>
              </w:numPr>
            </w:pPr>
            <w:r>
              <w:t>Enti, aziende e società che compongono il gruppo amministrazione pubblica, evidenziando gli enti, le aziende e le società che, a loro volta, sono a capo di un gruppo di amministrazioni pubbliche o imprese</w:t>
            </w:r>
          </w:p>
          <w:p w:rsidR="00375C74" w:rsidRDefault="00375C74" w:rsidP="00774B9F">
            <w:pPr>
              <w:pStyle w:val="Paragrafoelenco"/>
              <w:numPr>
                <w:ilvl w:val="0"/>
                <w:numId w:val="1"/>
              </w:numPr>
            </w:pPr>
            <w:r>
              <w:t>Enti, aziende e società componenti del gruppo compresi nel bilancio consolidato (secondo criteri di irrilevanza ed impossibilità)</w:t>
            </w:r>
          </w:p>
          <w:p w:rsidR="00375C74" w:rsidRDefault="00375C74" w:rsidP="00774B9F">
            <w:r>
              <w:t>Entrambi gli elenchi saranno aggiornati alla fine dell’esercizio per tenere conto di quanto è avvenuto nel corso della gestione. La versione definitiva dei due elenchi verrà inserita nella nota integrativa al Bilancio Consolidato.</w:t>
            </w:r>
          </w:p>
          <w:p w:rsidR="00375C74" w:rsidRDefault="00375C74" w:rsidP="00774B9F">
            <w:r w:rsidRPr="00A339BD">
              <w:rPr>
                <w:b/>
                <w:u w:val="single"/>
              </w:rPr>
              <w:t>Fase 2</w:t>
            </w:r>
            <w:r>
              <w:rPr>
                <w:b/>
              </w:rPr>
              <w:t xml:space="preserve">: </w:t>
            </w:r>
            <w:r>
              <w:t xml:space="preserve">Comunicazione ai componenti del gruppo, anche mediante trasmissione delle direttive, agli enti i cui bilanci sono destinati ad essere compresi nel bilancio consolidato, concernenti le modalità e le scadenze per l’invio della documentazione necessaria per l’elaborazione del consolidato. </w:t>
            </w:r>
          </w:p>
          <w:p w:rsidR="00375C74" w:rsidRDefault="00375C74" w:rsidP="00774B9F">
            <w:r w:rsidRPr="00892F6D">
              <w:rPr>
                <w:b/>
                <w:u w:val="single"/>
              </w:rPr>
              <w:t>Fase 3</w:t>
            </w:r>
            <w:r w:rsidRPr="00892F6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Attività diretta a rendere uniformi i bilanci da consolidare in particolare uniformando i relativi criteri di valutazione, qualora non siano uniformi, con l’obiettivo di ottenere una rappresentazione veritiera e corretta. </w:t>
            </w:r>
          </w:p>
          <w:p w:rsidR="00375C74" w:rsidRDefault="00375C74" w:rsidP="00774B9F">
            <w:r>
              <w:t>Eliminazione delle operazioni infragruppo ed eventuali saldi reciproci che costituiscono trasferimento di risorse all’interno del gruppo.</w:t>
            </w:r>
          </w:p>
          <w:p w:rsidR="00375C74" w:rsidRDefault="00375C74" w:rsidP="00774B9F">
            <w:r w:rsidRPr="00892F6D">
              <w:rPr>
                <w:b/>
                <w:u w:val="single"/>
              </w:rPr>
              <w:t>Fase 4</w:t>
            </w:r>
            <w:r>
              <w:t xml:space="preserve">: Consolidamento dei bilanci mediante l’aggregazione delle voci facendo riferimento ai singoli valori contabili sommando tra loro </w:t>
            </w:r>
            <w:r>
              <w:lastRenderedPageBreak/>
              <w:t>i corrispondenti valori dello stato patrimoniale e del conto economico e redazione della relativa nota integrativa.</w:t>
            </w:r>
          </w:p>
          <w:p w:rsidR="00375C74" w:rsidRDefault="00375C74" w:rsidP="00774B9F"/>
          <w:p w:rsidR="00375C74" w:rsidRPr="00892F6D" w:rsidRDefault="00375C74" w:rsidP="00774B9F">
            <w:pPr>
              <w:rPr>
                <w:u w:val="single"/>
              </w:rPr>
            </w:pPr>
            <w:r>
              <w:t>Nel caso in cui non risultano enti o società partecipate oggetto di consolidamento, la delibera di approvazione del rendiconto dichiara formalmente che l’ente non ha enti o società partecipate che, nel rispetto del principio applicato del bilancio consolidato, sono oggetto di consolidamento e che, conseguentemente, non procede all’approvazione del bilancio consolidato relativo all’esercizio precedente.</w:t>
            </w:r>
          </w:p>
          <w:p w:rsidR="00375C74" w:rsidRDefault="00375C74" w:rsidP="00774B9F"/>
        </w:tc>
        <w:tc>
          <w:tcPr>
            <w:tcW w:w="3225" w:type="dxa"/>
            <w:tcBorders>
              <w:top w:val="single" w:sz="12" w:space="0" w:color="auto"/>
            </w:tcBorders>
            <w:vAlign w:val="center"/>
          </w:tcPr>
          <w:p w:rsidR="00375C74" w:rsidRPr="00C17B73" w:rsidRDefault="00375C74" w:rsidP="007169E5">
            <w:pPr>
              <w:jc w:val="center"/>
              <w:rPr>
                <w:b/>
              </w:rPr>
            </w:pPr>
            <w:r w:rsidRPr="00C17B73">
              <w:rPr>
                <w:b/>
              </w:rPr>
              <w:lastRenderedPageBreak/>
              <w:t>Esmeralda Forlani</w:t>
            </w:r>
          </w:p>
        </w:tc>
      </w:tr>
      <w:tr w:rsidR="00375C74" w:rsidTr="007169E5">
        <w:trPr>
          <w:cantSplit/>
          <w:trHeight w:val="311"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Personale Coinvolto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C74" w:rsidRDefault="00375C74" w:rsidP="00716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Risorse Finanziarie Specifiche</w:t>
            </w:r>
          </w:p>
        </w:tc>
      </w:tr>
      <w:tr w:rsidR="00375C74" w:rsidTr="007169E5">
        <w:trPr>
          <w:trHeight w:val="307"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C74" w:rsidRPr="00DB4C23" w:rsidRDefault="00375C74" w:rsidP="007169E5">
            <w:pPr>
              <w:rPr>
                <w:bCs/>
              </w:rPr>
            </w:pPr>
            <w:r w:rsidRPr="00DB4C23">
              <w:rPr>
                <w:bCs/>
              </w:rPr>
              <w:t>Forlani</w:t>
            </w:r>
            <w:r>
              <w:rPr>
                <w:bCs/>
              </w:rPr>
              <w:t xml:space="preserve"> </w:t>
            </w:r>
            <w:r w:rsidRPr="00DB4C23">
              <w:rPr>
                <w:bCs/>
              </w:rPr>
              <w:t>Esmeralda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C74" w:rsidRPr="00CB617C" w:rsidRDefault="00375C74" w:rsidP="007169E5">
            <w:pPr>
              <w:jc w:val="center"/>
              <w:rPr>
                <w:bCs/>
              </w:rPr>
            </w:pPr>
            <w:r>
              <w:rPr>
                <w:bCs/>
              </w:rPr>
              <w:t>€ 0,00</w:t>
            </w:r>
          </w:p>
        </w:tc>
      </w:tr>
      <w:tr w:rsidR="00375C74" w:rsidTr="007169E5">
        <w:trPr>
          <w:trHeight w:val="307"/>
        </w:trPr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C74" w:rsidRDefault="00375C74" w:rsidP="007169E5">
            <w:pPr>
              <w:rPr>
                <w:b/>
                <w:bCs/>
              </w:rPr>
            </w:pPr>
            <w:r>
              <w:rPr>
                <w:b/>
                <w:bCs/>
              </w:rPr>
              <w:t>Risorse strumentali da utilizzare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C74" w:rsidRDefault="00375C74" w:rsidP="00774B9F">
            <w:pPr>
              <w:rPr>
                <w:b/>
                <w:bCs/>
              </w:rPr>
            </w:pPr>
            <w:r w:rsidRPr="00DB4C23">
              <w:rPr>
                <w:bCs/>
              </w:rPr>
              <w:t>Impiego di hardware e software di base a applicativi, già in possesso</w:t>
            </w:r>
            <w:r>
              <w:rPr>
                <w:b/>
                <w:bCs/>
              </w:rPr>
              <w:t>.</w:t>
            </w:r>
          </w:p>
        </w:tc>
      </w:tr>
    </w:tbl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B36F2E" w:rsidRPr="00E10384" w:rsidRDefault="00B36F2E" w:rsidP="00B36F2E">
      <w:pPr>
        <w:jc w:val="center"/>
        <w:rPr>
          <w:b/>
          <w:u w:val="single"/>
        </w:rPr>
      </w:pPr>
      <w:r w:rsidRPr="00E10384">
        <w:rPr>
          <w:b/>
          <w:u w:val="single"/>
        </w:rPr>
        <w:t>ATTUAZIONE</w:t>
      </w:r>
    </w:p>
    <w:p w:rsidR="00B36F2E" w:rsidRDefault="00B36F2E" w:rsidP="00B36F2E">
      <w:pPr>
        <w:jc w:val="both"/>
      </w:pPr>
    </w:p>
    <w:p w:rsidR="00B36F2E" w:rsidRDefault="00B36F2E" w:rsidP="00B36F2E">
      <w:pPr>
        <w:autoSpaceDE w:val="0"/>
        <w:autoSpaceDN w:val="0"/>
        <w:adjustRightInd w:val="0"/>
        <w:jc w:val="both"/>
        <w:rPr>
          <w:rFonts w:ascii="sole_text" w:hAnsi="sole_text" w:cs="Helvetica"/>
          <w:color w:val="1A171B"/>
        </w:rPr>
      </w:pPr>
      <w:r>
        <w:t xml:space="preserve">In data </w:t>
      </w:r>
      <w:r w:rsidR="00A44828">
        <w:t>27.12</w:t>
      </w:r>
      <w:r>
        <w:t xml:space="preserve">.2017 </w:t>
      </w:r>
      <w:r w:rsidR="00A44828">
        <w:t>la Giunta Comunale</w:t>
      </w:r>
      <w:r>
        <w:t xml:space="preserve"> ha </w:t>
      </w:r>
      <w:r w:rsidR="00A44828">
        <w:t>individuat</w:t>
      </w:r>
      <w:r>
        <w:t>o</w:t>
      </w:r>
      <w:r w:rsidR="00A44828">
        <w:t>,</w:t>
      </w:r>
      <w:r>
        <w:t xml:space="preserve"> con provvedimento n. </w:t>
      </w:r>
      <w:r w:rsidR="00A44828">
        <w:t>79,</w:t>
      </w:r>
      <w:r>
        <w:t xml:space="preserve"> i</w:t>
      </w:r>
      <w:r w:rsidR="00A44828">
        <w:t xml:space="preserve"> componenti del Gruppo Amministrazione Pubblica del Comune di Macerata Feltria nonché il perimetro di consolidamento per l’anno 2017. </w:t>
      </w:r>
    </w:p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375C74" w:rsidRDefault="00375C74" w:rsidP="00375C74"/>
    <w:p w:rsidR="001E0B86" w:rsidRDefault="001E0B86"/>
    <w:sectPr w:rsidR="001E0B86" w:rsidSect="001E0B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AC" w:rsidRDefault="00C937AC" w:rsidP="0066212B">
      <w:r>
        <w:separator/>
      </w:r>
    </w:p>
  </w:endnote>
  <w:endnote w:type="continuationSeparator" w:id="0">
    <w:p w:rsidR="00C937AC" w:rsidRDefault="00C937AC" w:rsidP="0066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le_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AC" w:rsidRDefault="00C937AC" w:rsidP="0066212B">
      <w:r>
        <w:separator/>
      </w:r>
    </w:p>
  </w:footnote>
  <w:footnote w:type="continuationSeparator" w:id="0">
    <w:p w:rsidR="00C937AC" w:rsidRDefault="00C937AC" w:rsidP="0066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2B" w:rsidRDefault="0066212B">
    <w:pPr>
      <w:pStyle w:val="Intestazione"/>
    </w:pPr>
    <w:r>
      <w:rPr>
        <w:noProof/>
      </w:rPr>
      <w:drawing>
        <wp:inline distT="0" distB="0" distL="0" distR="0">
          <wp:extent cx="6118860" cy="975360"/>
          <wp:effectExtent l="19050" t="0" r="0" b="0"/>
          <wp:docPr id="7" name="Immagine 2" descr="intestazione CI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 CI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F2A"/>
    <w:multiLevelType w:val="hybridMultilevel"/>
    <w:tmpl w:val="E022101E"/>
    <w:lvl w:ilvl="0" w:tplc="0410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32546FDE"/>
    <w:multiLevelType w:val="hybridMultilevel"/>
    <w:tmpl w:val="370A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2A65"/>
    <w:multiLevelType w:val="hybridMultilevel"/>
    <w:tmpl w:val="10EEE626"/>
    <w:lvl w:ilvl="0" w:tplc="EB12CDE8">
      <w:start w:val="1"/>
      <w:numFmt w:val="bullet"/>
      <w:lvlText w:val=""/>
      <w:lvlJc w:val="left"/>
      <w:pPr>
        <w:ind w:left="1101" w:hanging="360"/>
      </w:pPr>
      <w:rPr>
        <w:rFonts w:ascii="Symbol" w:hAnsi="Symbol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65C46867"/>
    <w:multiLevelType w:val="hybridMultilevel"/>
    <w:tmpl w:val="016E395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F01BEB"/>
    <w:multiLevelType w:val="hybridMultilevel"/>
    <w:tmpl w:val="A59E40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74"/>
    <w:rsid w:val="001E0B86"/>
    <w:rsid w:val="002F0700"/>
    <w:rsid w:val="00346BE2"/>
    <w:rsid w:val="00375C74"/>
    <w:rsid w:val="00451E33"/>
    <w:rsid w:val="00493750"/>
    <w:rsid w:val="00631C77"/>
    <w:rsid w:val="0066212B"/>
    <w:rsid w:val="00674B77"/>
    <w:rsid w:val="006C3F62"/>
    <w:rsid w:val="00774B9F"/>
    <w:rsid w:val="007C6F8B"/>
    <w:rsid w:val="00817D5E"/>
    <w:rsid w:val="008228B8"/>
    <w:rsid w:val="00951E28"/>
    <w:rsid w:val="00967F87"/>
    <w:rsid w:val="009831C0"/>
    <w:rsid w:val="00A25ABC"/>
    <w:rsid w:val="00A44828"/>
    <w:rsid w:val="00B36F2E"/>
    <w:rsid w:val="00C937AC"/>
    <w:rsid w:val="00D510A8"/>
    <w:rsid w:val="00D63499"/>
    <w:rsid w:val="00E17D38"/>
    <w:rsid w:val="00E36711"/>
    <w:rsid w:val="00E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s1164"/>
        <o:r id="V:Rule4" type="connector" idref="#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C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5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5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75C74"/>
    <w:pPr>
      <w:ind w:left="708"/>
    </w:pPr>
  </w:style>
  <w:style w:type="character" w:styleId="Enfasigrassetto">
    <w:name w:val="Strong"/>
    <w:basedOn w:val="Carpredefinitoparagrafo"/>
    <w:qFormat/>
    <w:rsid w:val="00375C74"/>
    <w:rPr>
      <w:b/>
      <w:bCs/>
    </w:rPr>
  </w:style>
  <w:style w:type="paragraph" w:customStyle="1" w:styleId="Default">
    <w:name w:val="Default"/>
    <w:rsid w:val="00375C74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2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21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2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21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1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Forlani</dc:creator>
  <cp:lastModifiedBy>francesca.giovagnoli</cp:lastModifiedBy>
  <cp:revision>2</cp:revision>
  <cp:lastPrinted>2018-01-26T11:27:00Z</cp:lastPrinted>
  <dcterms:created xsi:type="dcterms:W3CDTF">2019-05-03T08:37:00Z</dcterms:created>
  <dcterms:modified xsi:type="dcterms:W3CDTF">2019-05-03T08:37:00Z</dcterms:modified>
</cp:coreProperties>
</file>